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Методика расчета</w:t>
      </w:r>
    </w:p>
    <w:p>
      <w:r>
        <w:rPr>
          <w:sz w:val="18"/>
        </w:rPr>
        <w:t>Абалаков Павел Альбертович  |  Радио — MTC ENGINEER HACK</w:t>
      </w:r>
    </w:p>
    <w:p>
      <w:r>
        <w:t>Методика определяет условную достаточность ёмкости МТС и сравнивает диапазоны при единой модели. Исходные данные ТЗ, данные стандартов и инженерные допущения разделены ниже. Расчёт выполнен программно с рекуррентной проверкой Erlang B и перебором семи сочетаний LTE.</w:t>
      </w:r>
    </w:p>
    <w:p>
      <w:pPr>
        <w:pStyle w:val="Heading1"/>
      </w:pPr>
      <w:r>
        <w:t>Исходные данные и трактовки</w:t>
      </w:r>
    </w:p>
    <w:p>
      <w:r>
        <w:t>Задано в ТЗ: 2100 м², 1 этаж, 500 чел. в ЧНН; МТС 60%; 25 мЭрл/абонента и блокировки 1,5%; рост 4G 1,2, активность 80%; 8 Мбит/с DL; LTE FDD MIMO 2×2. Источник: приложение к кейсу, строки «Описание объекта» и «Рекомендованная модель трафика». Полосы 20/15/10 МГц для LTE-1800/2100/2600 — приложение 1, таблица 1; KPI — таблица 2.</w:t>
      </w:r>
    </w:p>
    <w:p>
      <w:r>
        <w:t>Неоднозначности ТЗ: доля 4G отсутствует; активность не определена как одновременность; нет интервала и уровня измерения скорости. Принято f₄G = 1, активность — одновременный спрос, скорость — полезный трафик каждому активному UE. Рост 1,2 применяется один раз, только к 4G. Если 80% — уникальные пользователи за час, нужна модель сессий: одновременность из такого числа не выводится.</w:t>
      </w:r>
    </w:p>
    <w:p>
      <w:r>
        <w:t>В таблице 1 заголовок смешивает «каналы» и «полоса МГц»: 22 для GSM трактуются как доступные RF-каналы с шагом 200 кГц [1], а не TCH, TRX или 22 МГц. Точные ARFCN и пригодность частот требуют согласования; 22 × 0,2 = 4,4 МГц — лишь эквивалент числа шагов, не доказательство непрерывного выделения. Ширины поддержки DAS 75/60/70 МГц не подменяют полосы МТС 20/15/10 МГц.</w:t>
      </w:r>
    </w:p>
    <w:p>
      <w:pPr>
        <w:pStyle w:val="Heading1"/>
      </w:pPr>
      <w:r>
        <w:t>Абоненты и голос</w:t>
      </w:r>
    </w:p>
    <w:p>
      <w:r>
        <w:t>NМТС = 500 × 0,60 = 300 чел.; N₄G = 300 × 1 × 1,2 = 360 чел.; Nак = ⌈360 × 0,80⌉ = 288 чел.; D = 288 × 8 = 2304 Мбит/с. A = 300 × 25/1000 = 7,5 Эрл. Численность и число каналов округляются вверх; промежуточные коэффициенты сохраняются без округления.</w:t>
      </w:r>
    </w:p>
    <w:p>
      <w:r>
        <w:t>Erlang B: B₀ = 1; Bₙ = A·Bₙ₋₁/(n + A·Bₙ₋₁). При A = 7,5 Эрл: B₁₃ = 2,1566% &gt; 1,5%; B₁₄ = 1,1421% ≤ 1,5%; минимум 14 TCH/F. Модель: предложенная пуассоновская нагрузка, вызовы без ожидания; half-rate и VoLTE не закладываются.</w:t>
      </w:r>
    </w:p>
    <w:p>
      <w:r>
        <w:t>По 8 TS на TRX [2]. Резервируются TS0 первого TRX для BCCH/CCCH/FCCH/SCH и ещё 1 TS для SDCCH/8 с SACCH. TCH = 8·TRX − 2: ⌈(14 + 2)/8⌉ = 2 TRX. SACCH/FACCH разговорного канала не вычитаются повторно отдельным TS. Один DCS-сектор использует общий пул; две доступные частоты из 22 подбираются по C/I и совместимости с LTE. SDCCH/CCCH требуют отдельной проверки по вызовам, SMS и регистрациям: этих данных нет.</w:t>
      </w:r>
    </w:p>
    <w:p>
      <w:r>
        <w:t>Если DCS делится на независимые секторы, Erlang B считается в каждом пуле: при равномерных двух секторах Aᵢ = 3,75 Эрл нужно 9 TCH/сектор (B = 0,9555%), по 2 TRX; при трёх Aᵢ = 2,5 Эрл нужно 7 TCH (B = 0,9983%), тоже по 2 TRX с выбранными 2 служебными TS. Суммировать раздельные TCH как общий пул нельзя. LTE-секторизация не обязывает повторять её в DCS.</w:t>
      </w:r>
    </w:p>
    <w:p>
      <w:r>
        <w:br w:type="page"/>
      </w:r>
    </w:p>
    <w:p>
      <w:pPr>
        <w:pStyle w:val="Heading1"/>
      </w:pPr>
      <w:r>
        <w:t>Полезная LTE емкость и выбор конфигурации</w:t>
      </w:r>
    </w:p>
    <w:p>
      <w:r>
        <w:t>Внешние технические данные: 20/15/10 МГц соответствуют 100/75/50 PRB [3]; normal CP — 12 поднесущих и 14 OFDM-символов за 1 мс [4]. q = 6 × 567/1024 = 3,322265625 бит/RE/слой соответствует строке CQI 11 таблицы 7.2.3-1 [5]. Выбор этого эквивалентного q — допущение, а не вывод из SINR.</w:t>
      </w:r>
    </w:p>
    <w:p>
      <w:r>
        <w:t>Инженерная модель: r = 1,6 — средний ранг по используемым ресурсам (60% в rank 2, 40% в rank 1); o = 0,80 — доля RE для данных после CRS/управления/синхронизации; h = 0,90 — полезная доля после повторов HARQ; g = 0,98 — полезная доля после протокольных заголовков; u = 0,80 — максимальная эксплуатационная загрузка; k = 1,10 — плановый перекос нагрузки. q принят одинаковым для двух режимов ранга; эквивалентная η для расчёта одинакова у UE и на всех несущих; это плановая модель, а не подтверждённый профиль CQI/RI объекта.</w:t>
      </w:r>
    </w:p>
    <w:p>
      <w:r>
        <w:t>Cⱼ = N_PRB·12·14·1000·q·r·o·h·g·u/10⁶, Мбит/с. Для 20 МГц: 100·12·14·1000·3,322265625·1,6·0,80·0,90·0,98·0,80/10⁶ = 50,4094752 Мбит/с. Для 15/10 МГц: 37,8071064/25,2047376 Мбит/с. Эквивалентно Cⱼ = Bⱼ·η·u, где Bⱼ в МГц и η = 0,84·q·r·o·h·g = 3,1505922 бит/с/Гц; 0,84 получается из PRB и временной сетки. MIMO и служебные расходы повторно не умножаются; номинальная пиковая скорость не используется.</w:t>
      </w:r>
    </w:p>
    <w:p>
      <w:r>
        <w:t>Без CA: m = Σ⌊Cⱼ/8⌋ — целое число UE, каждому выделяется одна несущая. Для трёх полос m = 6 + 4 + 3 = 13. Плановая численность самого занятого сектора n_max = ⌈k·Nак/S⌉. Минимальный S = ⌈k·Nак/m⌉ = ⌈316,8/13⌉ = 25; требование проверяется в каждом секторе и на каждой полосе. Это консервативное правило округления плановой численности, не вероятностная гарантия всех всплесков. Проверка 24 секторов: 14 &gt; 13. Резерв S·ΣCⱼ − D = 531,53 Мбит/с; фрагменты ёмкости разных полос без CA одному UE не складываются.</w:t>
      </w:r>
    </w:p>
    <w:p>
      <w:r>
        <w:t>Все 7 сочетаний рассчитаны в «Результатах расчета». Минимум LTE-полос: 1800 и 53 сектора; минимум LTE-секторов без CA: три полосы и 25 секторов. Выбран второй критерий из-за сложности пространственного разделения на одном этаже. CA меняет m на ⌊ΣCⱼ/8⌋ = 14 и S на 23, но требует поддержки конкретного сочетания B1/B3/B7 и планировщика [6]; множителя CA к ёмкости нет.</w:t>
      </w:r>
    </w:p>
    <w:p>
      <w:r>
        <w:t>Достаточность условна: необходимы UE с B1/B3/B7 и балансировка 6/4/3. Реальный расход проверяется как Σᵢ vᵢ/(Bⱼ·ηᵢ) ≤ u на каждой несущей, где vᵢ — Мбит/с, ηᵢ — полезная эффективность UE. Профиль низкого CQI или rank 1 может нарушить условие даже при достаточной сумме ёмкости. Проценты площади SINR не считаются долями UE. Сценарии без CA: η = 2/4 → 36/18 секторов; u = 0,70 → 29; k = 1,25 → 28; только rank 1 → 53. Выбор 25 не устойчив к снижению эффективности: проект должен подтвердить принятую модель или увеличить S.</w:t>
      </w:r>
    </w:p>
    <w:p>
      <w:r>
        <w:t>Техническая проверка: 25 мЭрл = 0,025 Эрл; МГц·бит/с/Гц = Мбит/с; рост, активность, MIMO, расходы и u учтены по одному разу. Все семь минимумов проверены также при S−1; числа во всех документах едины. SINR ≥17/7/1 принят в дБ: единицы в ТЗ пропущены. Пассивная DAS и регулировка на удалённых модулях конфликтуют; варианты архитектуры изложены отдельно. Покрытие ёмкостным расчётом не подтверждается.</w:t>
      </w:r>
    </w:p>
    <w:p>
      <w:pPr>
        <w:spacing w:after="40"/>
      </w:pPr>
      <w:r>
        <w:rPr>
          <w:sz w:val="17"/>
        </w:rPr>
        <w:t xml:space="preserve">Первичные источники (ссылки): </w:t>
      </w:r>
      <w:hyperlink r:id="rId10">
        <w:r>
          <w:rPr>
            <w:color w:val="17558B"/>
            <w:sz w:val="17"/>
          </w:rPr>
          <w:t>45.005 — [1] §2, V18.0.0</w:t>
        </w:r>
      </w:hyperlink>
      <w:r>
        <w:rPr>
          <w:sz w:val="17"/>
        </w:rPr>
        <w:t xml:space="preserve">; </w:t>
      </w:r>
      <w:hyperlink r:id="rId11">
        <w:r>
          <w:rPr>
            <w:color w:val="17558B"/>
            <w:sz w:val="17"/>
          </w:rPr>
          <w:t>45.002 — [2] §§4.3, 6.4, V18.0.0</w:t>
        </w:r>
      </w:hyperlink>
      <w:r>
        <w:rPr>
          <w:sz w:val="17"/>
        </w:rPr>
        <w:t xml:space="preserve">; </w:t>
      </w:r>
      <w:hyperlink r:id="rId12">
        <w:r>
          <w:rPr>
            <w:color w:val="17558B"/>
            <w:sz w:val="17"/>
          </w:rPr>
          <w:t>36.104 — [3] табл. 5.6-1, V12.7.0</w:t>
        </w:r>
      </w:hyperlink>
      <w:r>
        <w:rPr>
          <w:sz w:val="17"/>
        </w:rPr>
        <w:t xml:space="preserve">; </w:t>
      </w:r>
      <w:hyperlink r:id="rId13">
        <w:r>
          <w:rPr>
            <w:color w:val="17558B"/>
            <w:sz w:val="17"/>
          </w:rPr>
          <w:t>36.211 — [4] §6.2.3, V17.2.0</w:t>
        </w:r>
      </w:hyperlink>
      <w:r>
        <w:rPr>
          <w:sz w:val="17"/>
        </w:rPr>
        <w:t xml:space="preserve">; </w:t>
      </w:r>
      <w:hyperlink r:id="rId14">
        <w:r>
          <w:rPr>
            <w:color w:val="17558B"/>
            <w:sz w:val="17"/>
          </w:rPr>
          <w:t>36.213 — [5] табл. 7.2.3-1, V17.1.0</w:t>
        </w:r>
      </w:hyperlink>
      <w:r>
        <w:rPr>
          <w:sz w:val="17"/>
        </w:rPr>
        <w:t xml:space="preserve">; </w:t>
      </w:r>
      <w:hyperlink r:id="rId15">
        <w:r>
          <w:rPr>
            <w:color w:val="17558B"/>
            <w:sz w:val="17"/>
          </w:rPr>
          <w:t>36.306 — [6] §4, V15.3.0</w:t>
        </w:r>
      </w:hyperlink>
      <w:r>
        <w:rPr>
          <w:sz w:val="17"/>
        </w:rPr>
        <w:t>.</w:t>
      </w:r>
    </w:p>
    <w:sectPr w:rsidR="00FC693F" w:rsidRPr="0006063C" w:rsidSect="00034616">
      <w:footerReference w:type="default" r:id="rId9"/>
      <w:pgSz w:w="11906" w:h="16838"/>
      <w:pgMar w:top="822" w:right="992" w:bottom="822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ТРК Эльбрус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tsi.org/deliver/etsi_ts/145000_145099/145005/18.00.00_60/ts_145005v180000p.pdf" TargetMode="External"/><Relationship Id="rId11" Type="http://schemas.openxmlformats.org/officeDocument/2006/relationships/hyperlink" Target="https://www.etsi.org/deliver/etsi_ts/145000_145099/145002/18.00.00_60/ts_145002v180000p.pdf" TargetMode="External"/><Relationship Id="rId12" Type="http://schemas.openxmlformats.org/officeDocument/2006/relationships/hyperlink" Target="https://www.etsi.org/deliver/etsi_ts/136100_136199/136104/12.07.00_60/ts_136104v120700p.pdf" TargetMode="External"/><Relationship Id="rId13" Type="http://schemas.openxmlformats.org/officeDocument/2006/relationships/hyperlink" Target="https://www.etsi.org/deliver/etsi_ts/136200_136299/136211/17.02.00_60/ts_136211v170200p.pdf" TargetMode="External"/><Relationship Id="rId14" Type="http://schemas.openxmlformats.org/officeDocument/2006/relationships/hyperlink" Target="https://www.etsi.org/deliver/etsi_ts/136200_136299/136213/17.01.00_60/ts_136213v170100p.pdf" TargetMode="External"/><Relationship Id="rId15" Type="http://schemas.openxmlformats.org/officeDocument/2006/relationships/hyperlink" Target="https://www.etsi.org/deliver/etsi_ts/136300_136399/136306/15.03.00_60/ts_136306v150300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расчета</dc:title>
  <dc:subject>Радио — MTC ENGINEER HACK • онлайн-этап • ТРК Эльбрус</dc:subject>
  <dc:creator>Абалаков Павел Альбертович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