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62CF8">
            <w:pPr>
              <w:ind w:left="94"/>
              <w:jc w:val="center"/>
            </w:pPr>
            <w:r>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62CF8">
            <w:pPr>
              <w:ind w:left="97"/>
              <w:jc w:val="center"/>
            </w:pPr>
            <w:r>
              <w:rPr>
                <w:rFonts w:ascii="Times New Roman" w:eastAsia="Times New Roman" w:hAnsi="Times New Roman" w:cs="Times New Roman"/>
                <w:b/>
                <w:sz w:val="36"/>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62CF8">
            <w:pPr>
              <w:ind w:left="96"/>
              <w:jc w:val="center"/>
            </w:pPr>
            <w:r>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62CF8">
            <w:pPr>
              <w:ind w:left="94"/>
              <w:jc w:val="center"/>
            </w:pPr>
            <w:r>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62CF8">
            <w:pPr>
              <w:ind w:left="97"/>
              <w:jc w:val="center"/>
            </w:pPr>
            <w:r>
              <w:rPr>
                <w:rFonts w:ascii="Times New Roman" w:eastAsia="Times New Roman" w:hAnsi="Times New Roman" w:cs="Times New Roman"/>
                <w:b/>
                <w:sz w:val="36"/>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62CF8">
            <w:pPr>
              <w:ind w:left="96"/>
              <w:jc w:val="center"/>
            </w:pPr>
            <w:r>
              <w:rPr>
                <w:rFonts w:ascii="Times New Roman" w:eastAsia="Times New Roman" w:hAnsi="Times New Roman" w:cs="Times New Roman"/>
                <w:b/>
                <w:sz w:val="36"/>
              </w:rPr>
              <w:t xml:space="preserve"> </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557"/>
        <w:gridCol w:w="1561"/>
      </w:tblGrid>
      <w:tr w:rsidR="00926ECD">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7D0C02">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7D0C02" w:rsidP="00A374DB">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7D0C02" w:rsidRDefault="007D0C02" w:rsidP="00A374DB">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4"/>
              <w:rPr>
                <w:sz w:val="18"/>
              </w:rPr>
            </w:pPr>
          </w:p>
        </w:tc>
      </w:tr>
      <w:tr w:rsidR="007D0C02">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7D0C02" w:rsidP="00A374DB">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7D0C02" w:rsidRDefault="007D0C02" w:rsidP="00A374DB">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4"/>
              <w:rPr>
                <w:sz w:val="18"/>
              </w:rPr>
            </w:pPr>
          </w:p>
        </w:tc>
      </w:tr>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182781">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182781" w:rsidP="00A374DB">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182781" w:rsidRDefault="00182781" w:rsidP="00A374DB">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4"/>
              <w:rPr>
                <w:sz w:val="18"/>
              </w:rPr>
            </w:pPr>
          </w:p>
        </w:tc>
      </w:tr>
      <w:tr w:rsidR="00926ECD">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bookmarkStart w:id="0" w:name="_GoBack" w:colFirst="3" w:colLast="3"/>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D62CF8" w:rsidP="00A374DB">
            <w:pPr>
              <w:ind w:left="3"/>
            </w:pPr>
            <w:r w:rsidRPr="00483BB4">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bookmarkEnd w:id="0"/>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926ECD">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A374DB">
            <w:pPr>
              <w:ind w:right="44"/>
              <w:jc w:val="right"/>
            </w:pPr>
            <w:r>
              <w:rPr>
                <w:sz w:val="18"/>
              </w:rPr>
              <w:t>137</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1"/>
              <w:jc w:val="right"/>
            </w:pPr>
            <w:r>
              <w:rPr>
                <w:sz w:val="18"/>
              </w:rPr>
              <w:t xml:space="preserve">1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4"/>
              <w:jc w:val="right"/>
            </w:pPr>
            <w:r>
              <w:rPr>
                <w:sz w:val="18"/>
              </w:rPr>
              <w:t xml:space="preserve">8192 </w:t>
            </w:r>
          </w:p>
        </w:tc>
      </w:tr>
      <w:tr w:rsidR="00926ECD">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926ECD">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sz w:val="18"/>
              </w:rPr>
              <w:t xml:space="preserve"> </w:t>
            </w: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A374DB">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A374DB">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A374DB">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A374DB">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A374DB">
            <w:pPr>
              <w:ind w:left="4"/>
              <w:rPr>
                <w:sz w:val="18"/>
              </w:rPr>
            </w:pP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A374DB">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A374DB">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A374DB">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A374DB">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A374DB">
            <w:pPr>
              <w:ind w:left="4"/>
              <w:rPr>
                <w:sz w:val="18"/>
              </w:rPr>
            </w:pP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E40AE8">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E40AE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4"/>
              <w:rPr>
                <w:sz w:val="18"/>
              </w:rPr>
            </w:pP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E40AE8">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E40AE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4"/>
              <w:rPr>
                <w:sz w:val="18"/>
              </w:rPr>
            </w:pP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E40AE8">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E40AE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4"/>
              <w:rPr>
                <w:sz w:val="18"/>
              </w:rPr>
            </w:pP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E40AE8">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E40AE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4"/>
              <w:rPr>
                <w:sz w:val="18"/>
              </w:rPr>
            </w:pPr>
          </w:p>
        </w:tc>
      </w:tr>
      <w:tr w:rsidR="00E40AE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E40AE8">
            <w:pPr>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E40AE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3"/>
              <w:rPr>
                <w:sz w:val="18"/>
              </w:rPr>
            </w:pPr>
          </w:p>
        </w:tc>
        <w:tc>
          <w:tcPr>
            <w:tcW w:w="1557"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rPr>
                <w:sz w:val="18"/>
              </w:rPr>
            </w:pP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4"/>
              <w:rPr>
                <w:sz w:val="18"/>
              </w:rPr>
            </w:pPr>
          </w:p>
        </w:tc>
      </w:tr>
      <w:tr w:rsidR="00E40AE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E40AE8">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E40AE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E40AE8">
            <w:pPr>
              <w:ind w:left="3"/>
            </w:pP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E40AE8">
            <w:pPr>
              <w:ind w:left="2"/>
            </w:pPr>
            <w:r>
              <w:rPr>
                <w:sz w:val="18"/>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4"/>
            </w:pPr>
            <w:r>
              <w:rPr>
                <w:sz w:val="18"/>
              </w:rPr>
              <w:t xml:space="preserve">  </w:t>
            </w:r>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Tamaño del registro: Suma de los tamaños de cada campo. Calcule 4000 bytes para los campos BLOB.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w:t>
      </w:r>
      <w:proofErr w:type="spellStart"/>
      <w:r>
        <w:rPr>
          <w:rFonts w:ascii="Times New Roman" w:eastAsia="Times New Roman" w:hAnsi="Times New Roman" w:cs="Times New Roman"/>
        </w:rPr>
        <w:t>extent</w:t>
      </w:r>
      <w:proofErr w:type="spellEnd"/>
      <w:r>
        <w:rPr>
          <w:rFonts w:ascii="Times New Roman" w:eastAsia="Times New Roman" w:hAnsi="Times New Roman" w:cs="Times New Roman"/>
        </w:rPr>
        <w:t xml:space="preserve">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lastRenderedPageBreak/>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proofErr w:type="spellStart"/>
      <w:r>
        <w:rPr>
          <w:rFonts w:ascii="Times New Roman" w:eastAsia="Times New Roman" w:hAnsi="Times New Roman" w:cs="Times New Roman"/>
          <w:b/>
        </w:rPr>
        <w:t>db_block_size</w:t>
      </w:r>
      <w:proofErr w:type="spellEnd"/>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constraints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r>
        <w:rPr>
          <w:rFonts w:ascii="Times New Roman" w:eastAsia="Times New Roman" w:hAnsi="Times New Roman" w:cs="Times New Roman"/>
          <w:b/>
          <w:sz w:val="24"/>
        </w:rPr>
        <w:t>identity</w:t>
      </w:r>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insert - conditional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lastRenderedPageBreak/>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r>
              <w:rPr>
                <w:rFonts w:ascii="Arial" w:eastAsia="Arial" w:hAnsi="Arial" w:cs="Arial"/>
                <w:sz w:val="18"/>
              </w:rPr>
              <w:t xml:space="preserve">Fec. </w:t>
            </w:r>
          </w:p>
          <w:p w:rsidR="00926ECD" w:rsidRDefault="00D62CF8">
            <w:pPr>
              <w:spacing w:after="14"/>
              <w:ind w:right="47"/>
              <w:jc w:val="center"/>
            </w:pPr>
            <w:r>
              <w:rPr>
                <w:rFonts w:ascii="Arial" w:eastAsia="Arial" w:hAnsi="Arial" w:cs="Arial"/>
                <w:sz w:val="18"/>
              </w:rPr>
              <w:t xml:space="preserve">Ini.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r>
              <w:rPr>
                <w:rFonts w:ascii="Arial" w:eastAsia="Arial" w:hAnsi="Arial" w:cs="Arial"/>
                <w:sz w:val="18"/>
              </w:rPr>
              <w:t xml:space="preserve">Fec.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Cant. Rep. Util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Util.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r>
              <w:rPr>
                <w:rFonts w:ascii="Arial" w:eastAsia="Arial" w:hAnsi="Arial" w:cs="Arial"/>
                <w:sz w:val="18"/>
              </w:rPr>
              <w:t xml:space="preserve">separar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r>
              <w:rPr>
                <w:rFonts w:ascii="Arial" w:eastAsia="Arial" w:hAnsi="Arial" w:cs="Arial"/>
                <w:sz w:val="18"/>
              </w:rPr>
              <w:t xml:space="preserve">Ej: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 xml:space="preserve">Mostrar  la descripción M (Mant.)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proofErr w:type="gramStart"/>
            <w:r>
              <w:rPr>
                <w:rFonts w:ascii="Arial" w:eastAsia="Arial" w:hAnsi="Arial" w:cs="Arial"/>
                <w:sz w:val="18"/>
              </w:rPr>
              <w:t>∑(</w:t>
            </w:r>
            <w:proofErr w:type="gramEnd"/>
            <w:r>
              <w:rPr>
                <w:rFonts w:ascii="Arial" w:eastAsia="Arial" w:hAnsi="Arial" w:cs="Arial"/>
                <w:sz w:val="18"/>
              </w:rPr>
              <w:t xml:space="preserve">Cant. </w:t>
            </w:r>
          </w:p>
          <w:p w:rsidR="00926ECD" w:rsidRDefault="00D62CF8">
            <w:pPr>
              <w:spacing w:after="14"/>
              <w:ind w:left="2"/>
            </w:pPr>
            <w:r>
              <w:rPr>
                <w:rFonts w:ascii="Arial" w:eastAsia="Arial" w:hAnsi="Arial" w:cs="Arial"/>
                <w:sz w:val="18"/>
              </w:rPr>
              <w:t xml:space="preserve">Rep. Util.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r>
              <w:rPr>
                <w:rFonts w:ascii="Arial" w:eastAsia="Arial" w:hAnsi="Arial" w:cs="Arial"/>
                <w:sz w:val="18"/>
              </w:rPr>
              <w:t xml:space="preserve">unitario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 xml:space="preserve">(ot_detalle)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r>
              <w:rPr>
                <w:rFonts w:ascii="Arial" w:eastAsia="Arial" w:hAnsi="Arial" w:cs="Arial"/>
                <w:sz w:val="18"/>
              </w:rPr>
              <w:t xml:space="preserve">Tot.Tec. + Costo Rep. </w:t>
            </w:r>
          </w:p>
          <w:p w:rsidR="00926ECD" w:rsidRDefault="00D62CF8">
            <w:r>
              <w:rPr>
                <w:rFonts w:ascii="Arial" w:eastAsia="Arial" w:hAnsi="Arial" w:cs="Arial"/>
                <w:sz w:val="18"/>
              </w:rPr>
              <w:t xml:space="preserve">Util.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hs.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Cant.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 xml:space="preserve">(Cantidad mínima de redondos x día*Costo del pasaje según el modelo del bus*(Cant. Pasaj. Sent. + Cant. Pasaj.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w:t>
      </w:r>
      <w:proofErr w:type="spellStart"/>
      <w:r>
        <w:rPr>
          <w:rFonts w:ascii="Times New Roman" w:eastAsia="Times New Roman" w:hAnsi="Times New Roman" w:cs="Times New Roman"/>
          <w:i/>
          <w:sz w:val="20"/>
        </w:rPr>
        <w:t>string</w:t>
      </w:r>
      <w:proofErr w:type="spellEnd"/>
      <w:r>
        <w:rPr>
          <w:rFonts w:ascii="Times New Roman" w:eastAsia="Times New Roman" w:hAnsi="Times New Roman" w:cs="Times New Roman"/>
          <w:i/>
          <w:sz w:val="20"/>
        </w:rPr>
        <w:t xml:space="preserve"> que representa la hora y minuto en el formato ‘HH:MI’.  Ej: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Ej: Empleado: Juan Pérez Usuario: T_JPEREZ.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Password: El mismo que el usuario.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Tablespace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r>
        <w:rPr>
          <w:rFonts w:ascii="Times New Roman" w:eastAsia="Times New Roman" w:hAnsi="Times New Roman" w:cs="Times New Roman"/>
          <w:sz w:val="24"/>
        </w:rPr>
        <w:t xml:space="preserve">Grantear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w:t>
            </w:r>
            <w:proofErr w:type="spellStart"/>
            <w:r>
              <w:t>tablespace</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w:t>
            </w:r>
            <w:proofErr w:type="spellStart"/>
            <w:r>
              <w:t>Granteo</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Aquí se mantienen las marcas de vehículos que adquiere la empresa. Ej: Volvo, Mercedes Benz, </w:t>
            </w:r>
            <w:proofErr w:type="spellStart"/>
            <w:r>
              <w:rPr>
                <w:rFonts w:ascii="Arial" w:eastAsia="Arial" w:hAnsi="Arial" w:cs="Arial"/>
              </w:rPr>
              <w:t>etc</w:t>
            </w:r>
            <w:proofErr w:type="spellEnd"/>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Mantiene los datos de las actividades realizadas en mantenimientos o reparaciones de buses. Ej: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r>
              <w:rPr>
                <w:rFonts w:ascii="Arial" w:eastAsia="Arial" w:hAnsi="Arial" w:cs="Arial"/>
                <w:b/>
              </w:rPr>
              <w:t>C</w:t>
            </w:r>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mantienen los motivos por los cuales podría no completarse un redondo. Ej: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4DB" w:rsidRDefault="005354DB">
      <w:pPr>
        <w:spacing w:after="0" w:line="240" w:lineRule="auto"/>
      </w:pPr>
      <w:r>
        <w:separator/>
      </w:r>
    </w:p>
  </w:endnote>
  <w:endnote w:type="continuationSeparator" w:id="0">
    <w:p w:rsidR="005354DB" w:rsidRDefault="0053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4DB" w:rsidRDefault="005354DB">
      <w:pPr>
        <w:spacing w:after="0" w:line="240" w:lineRule="auto"/>
      </w:pPr>
      <w:r>
        <w:separator/>
      </w:r>
    </w:p>
  </w:footnote>
  <w:footnote w:type="continuationSeparator" w:id="0">
    <w:p w:rsidR="005354DB" w:rsidRDefault="0053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A6" w:rsidRDefault="00DF67A6">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483BB4">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DF67A6" w:rsidRDefault="00DF67A6">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A6" w:rsidRDefault="00DF67A6">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483BB4">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DF67A6" w:rsidRDefault="00DF67A6">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A6" w:rsidRDefault="00DF67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101FAA"/>
    <w:rsid w:val="00182781"/>
    <w:rsid w:val="003A4075"/>
    <w:rsid w:val="00483BB4"/>
    <w:rsid w:val="00515A81"/>
    <w:rsid w:val="005354DB"/>
    <w:rsid w:val="00642F59"/>
    <w:rsid w:val="007D0C02"/>
    <w:rsid w:val="00901700"/>
    <w:rsid w:val="00926ECD"/>
    <w:rsid w:val="00A374DB"/>
    <w:rsid w:val="00CF0F86"/>
    <w:rsid w:val="00D62CF8"/>
    <w:rsid w:val="00DF67A6"/>
    <w:rsid w:val="00E40AE8"/>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2131</Words>
  <Characters>11725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12</cp:revision>
  <dcterms:created xsi:type="dcterms:W3CDTF">2019-08-19T11:32:00Z</dcterms:created>
  <dcterms:modified xsi:type="dcterms:W3CDTF">2019-09-04T02:51:00Z</dcterms:modified>
</cp:coreProperties>
</file>