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UI</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logo at the top of the page serves no purpose other than aesthetics and general introduction to the theme of the service. Venturing further down the page there is a navigation bar meant for convenient access to different basic functions.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furthest option to the left is the login button. When hovered over it should display a lighter shade of gray than the navigation bar as a whole. Upon clicking, you will be directed to a classic, all-black login screen with the same logo centered at the top of the page. Here you are meant to enter your credentials (username and password) if already registered within the system. If not, you must press the Create Account button, located directly to the right of the login button. Here you will be directed to a similar page that will allow you to create credentials. Once this is complete, you will automatically be redirected to the home screen once more, where you can now successfully login using the steps from earlier.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Once you have logged in successfully, the previous buttons should be replaced by a single log out button. Directly to the right of which, should be the search bar where you can enter the name of the movie you would like to find, any actors’ names to see what movies they have been in, or simply leave blank and pull up the entire repository. Results should appear in the center of the page directly under the search bar. To the right of the results should be a button that, when clicked, displays the user’s To-Watch list of any movies they have manually added. To add a movie to a list, our tentative approach which has yet to be implemented is to click a button within the To-Watch list and write in the movie manually. This is the same tentative procedure for the Completed list, which is located to the left of the movie results in the center of the page.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