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B2DE0" w14:textId="77777777" w:rsidR="00F37030" w:rsidRDefault="00000000">
      <w:pPr>
        <w:pStyle w:val="Title"/>
      </w:pPr>
      <w:r>
        <w:t>On the Proper Use of Relativities for Insurance Rating Factors</w:t>
      </w:r>
    </w:p>
    <w:p w14:paraId="50AB2DE1" w14:textId="77777777" w:rsidR="00F37030" w:rsidRDefault="00000000">
      <w:pPr>
        <w:pStyle w:val="Author"/>
      </w:pPr>
      <w:r>
        <w:t>Ariel Balter</w:t>
      </w:r>
    </w:p>
    <w:p w14:paraId="50AB2DE2" w14:textId="77777777" w:rsidR="00F37030" w:rsidRDefault="00000000">
      <w:pPr>
        <w:pStyle w:val="Date"/>
      </w:pPr>
      <w:r>
        <w:t>2026-10-16</w:t>
      </w:r>
    </w:p>
    <w:p w14:paraId="50AB2DE3" w14:textId="77777777" w:rsidR="00F37030" w:rsidRDefault="00000000">
      <w:pPr>
        <w:pStyle w:val="Heading1"/>
      </w:pPr>
      <w:bookmarkStart w:id="0" w:name="proposal"/>
      <w:r>
        <w:t>Proposal</w:t>
      </w:r>
    </w:p>
    <w:p w14:paraId="50AB2DE4" w14:textId="40CEF965" w:rsidR="00F37030" w:rsidRDefault="00000000" w:rsidP="004A47A1">
      <w:pPr>
        <w:pStyle w:val="FirstParagraph"/>
        <w:spacing w:before="0"/>
      </w:pPr>
      <w:r>
        <w:t>Complete a technical guide</w:t>
      </w:r>
      <w:r w:rsidR="005004EC">
        <w:t xml:space="preserve"> and </w:t>
      </w:r>
      <w:r>
        <w:t>journal article</w:t>
      </w:r>
      <w:r w:rsidR="00FC5B85">
        <w:t xml:space="preserve"> on </w:t>
      </w:r>
      <w:r w:rsidR="00BE6F79">
        <w:t>relativities and rating factors.</w:t>
      </w:r>
      <w:r w:rsidR="005004EC">
        <w:t xml:space="preserve"> </w:t>
      </w:r>
      <w:r w:rsidR="00BE6F79">
        <w:t>The guide discusses</w:t>
      </w:r>
      <w:r>
        <w:t xml:space="preserve"> important considerations for reporting rating factors derived from relativity calculatio</w:t>
      </w:r>
      <w:r w:rsidR="00BE6F79">
        <w:t xml:space="preserve">ns. The </w:t>
      </w:r>
      <w:r w:rsidR="000D4A0A">
        <w:t>article</w:t>
      </w:r>
      <w:r w:rsidR="00BE6F79">
        <w:t xml:space="preserve"> introduces </w:t>
      </w:r>
      <w:r>
        <w:t>theoretical constraints on when it is appropriate to do so.</w:t>
      </w:r>
    </w:p>
    <w:p w14:paraId="50AB2DE5" w14:textId="77777777" w:rsidR="00F37030" w:rsidRDefault="00000000">
      <w:pPr>
        <w:pStyle w:val="Heading1"/>
      </w:pPr>
      <w:bookmarkStart w:id="1" w:name="why-this-work-matters"/>
      <w:bookmarkEnd w:id="0"/>
      <w:r>
        <w:t>Why This Work Matters</w:t>
      </w:r>
    </w:p>
    <w:p w14:paraId="50AB2DE7" w14:textId="7E4A2C8A" w:rsidR="00F37030" w:rsidRDefault="00000000" w:rsidP="004A47A1">
      <w:pPr>
        <w:pStyle w:val="FirstParagraph"/>
        <w:spacing w:before="0"/>
      </w:pPr>
      <w:r>
        <w:t xml:space="preserve">Insurance practitioners frequently use the term </w:t>
      </w:r>
      <w:r>
        <w:rPr>
          <w:i/>
          <w:iCs/>
        </w:rPr>
        <w:t>relativity</w:t>
      </w:r>
      <w:r>
        <w:t xml:space="preserve"> to describe the effect of a rating variable on premium</w:t>
      </w:r>
      <w:r w:rsidR="00264915">
        <w:t>s</w:t>
      </w:r>
      <w:r>
        <w:t>. This paper demonstrates that several quantities commonly called relativities are mathematically distinct and coincide only under special conditions.</w:t>
      </w:r>
      <w:r w:rsidR="004A47A1">
        <w:t xml:space="preserve"> </w:t>
      </w:r>
      <w:r>
        <w:t>The core theoretical insight is that, while a model coefficient is an intrinsic property of a fitted model, a marginal or partial-dependence-style relativity depends on both the fitted model and the reference portfolio.</w:t>
      </w:r>
    </w:p>
    <w:p w14:paraId="50AB2DE8" w14:textId="77777777" w:rsidR="00F37030" w:rsidRDefault="00000000">
      <w:pPr>
        <w:pStyle w:val="BodyText"/>
      </w:pPr>
      <w:r>
        <w:t>The journal article will introduce and explore the new theoretical constraints through mathematical proofs and numerical simulations. The guide will clarify different types of relativities, how to calculate them, and how to properly use them.</w:t>
      </w:r>
    </w:p>
    <w:p w14:paraId="50AB2DE9" w14:textId="77777777" w:rsidR="00F37030" w:rsidRDefault="00000000">
      <w:pPr>
        <w:pStyle w:val="Heading1"/>
      </w:pPr>
      <w:bookmarkStart w:id="2" w:name="contribution-to-practice"/>
      <w:bookmarkEnd w:id="1"/>
      <w:r>
        <w:t>Contribution to practice:</w:t>
      </w:r>
    </w:p>
    <w:p w14:paraId="50AB2DEA" w14:textId="25AA4EC0" w:rsidR="00F37030" w:rsidRDefault="00000000">
      <w:pPr>
        <w:pStyle w:val="Compact"/>
        <w:numPr>
          <w:ilvl w:val="0"/>
          <w:numId w:val="10"/>
        </w:numPr>
      </w:pPr>
      <w:r>
        <w:t>Actuaries refer to any different quantities as “the relativities”.</w:t>
      </w:r>
    </w:p>
    <w:p w14:paraId="50AB2DEB" w14:textId="77777777" w:rsidR="00F37030" w:rsidRDefault="00000000">
      <w:pPr>
        <w:pStyle w:val="Compact"/>
        <w:numPr>
          <w:ilvl w:val="0"/>
          <w:numId w:val="10"/>
        </w:numPr>
      </w:pPr>
      <w:r>
        <w:t>Some can equate to model coefficients and some cannot.</w:t>
      </w:r>
    </w:p>
    <w:p w14:paraId="50AB2DEC" w14:textId="77777777" w:rsidR="00F37030" w:rsidRDefault="00000000">
      <w:pPr>
        <w:pStyle w:val="Compact"/>
        <w:numPr>
          <w:ilvl w:val="0"/>
          <w:numId w:val="10"/>
        </w:numPr>
      </w:pPr>
      <w:r>
        <w:t>Relativities only equate to coefficients when:</w:t>
      </w:r>
    </w:p>
    <w:p w14:paraId="50AB2DED" w14:textId="77777777" w:rsidR="00F37030" w:rsidRDefault="00000000">
      <w:pPr>
        <w:pStyle w:val="Compact"/>
        <w:numPr>
          <w:ilvl w:val="1"/>
          <w:numId w:val="11"/>
        </w:numPr>
      </w:pPr>
      <w:r>
        <w:t>interactions have a specific structure</w:t>
      </w:r>
    </w:p>
    <w:p w14:paraId="50AB2DEE" w14:textId="77777777" w:rsidR="00F37030" w:rsidRDefault="00000000">
      <w:pPr>
        <w:pStyle w:val="Compact"/>
        <w:numPr>
          <w:ilvl w:val="1"/>
          <w:numId w:val="11"/>
        </w:numPr>
      </w:pPr>
      <w:r>
        <w:t>or you limit analysis to the historical portfolio, and not try to forecast.</w:t>
      </w:r>
    </w:p>
    <w:p w14:paraId="50AB2DEF" w14:textId="77777777" w:rsidR="00F37030" w:rsidRDefault="00000000">
      <w:pPr>
        <w:pStyle w:val="Compact"/>
        <w:numPr>
          <w:ilvl w:val="0"/>
          <w:numId w:val="10"/>
        </w:numPr>
      </w:pPr>
      <w:r>
        <w:t>Therefore, extraction rating-tables from GLMs/GAMs should follow explicit guidance.</w:t>
      </w:r>
    </w:p>
    <w:p w14:paraId="50AB2DF0" w14:textId="77777777" w:rsidR="00F37030" w:rsidRDefault="00000000">
      <w:pPr>
        <w:pStyle w:val="Heading1"/>
      </w:pPr>
      <w:bookmarkStart w:id="3" w:name="contributions-to-theory"/>
      <w:bookmarkEnd w:id="2"/>
      <w:r>
        <w:t>Contributions to theory:</w:t>
      </w:r>
    </w:p>
    <w:p w14:paraId="50AB2DF1" w14:textId="77777777" w:rsidR="00F37030" w:rsidRDefault="00000000">
      <w:pPr>
        <w:pStyle w:val="Compact"/>
        <w:numPr>
          <w:ilvl w:val="0"/>
          <w:numId w:val="12"/>
        </w:numPr>
      </w:pPr>
      <w:r>
        <w:t>Unifying into one coherent framework of ideas from interpretable ML, functional ANOVA, anchored decompositions, and actuarial relativities.</w:t>
      </w:r>
    </w:p>
    <w:p w14:paraId="50AB2DF2" w14:textId="77777777" w:rsidR="00F37030" w:rsidRDefault="00000000">
      <w:pPr>
        <w:pStyle w:val="Compact"/>
        <w:numPr>
          <w:ilvl w:val="0"/>
          <w:numId w:val="12"/>
        </w:numPr>
      </w:pPr>
      <w:r>
        <w:t>A necessary-and-sufficient condition for when a PDP-based relativities equals a model coefficient.</w:t>
      </w:r>
    </w:p>
    <w:p w14:paraId="50AB2DF3" w14:textId="77777777" w:rsidR="00F37030" w:rsidRDefault="00000000">
      <w:pPr>
        <w:pStyle w:val="Compact"/>
        <w:numPr>
          <w:ilvl w:val="0"/>
          <w:numId w:val="12"/>
        </w:numPr>
      </w:pPr>
      <w:r>
        <w:t>Formally characterizing how overlapping interaction structures create portfolio dependence.</w:t>
      </w:r>
    </w:p>
    <w:p w14:paraId="50AB2DF4" w14:textId="77777777" w:rsidR="00F37030" w:rsidRDefault="00000000">
      <w:pPr>
        <w:pStyle w:val="Heading1"/>
      </w:pPr>
      <w:bookmarkStart w:id="4" w:name="time-required"/>
      <w:bookmarkEnd w:id="3"/>
      <w:r>
        <w:t>Time Required</w:t>
      </w:r>
    </w:p>
    <w:p w14:paraId="50AB2DF5" w14:textId="77777777" w:rsidR="00F37030" w:rsidRDefault="00000000" w:rsidP="004A47A1">
      <w:pPr>
        <w:pStyle w:val="FirstParagraph"/>
        <w:spacing w:before="0"/>
      </w:pPr>
      <w:r>
        <w:t xml:space="preserve">I propose working on this project for </w:t>
      </w:r>
      <w:r>
        <w:rPr>
          <w:b/>
          <w:bCs/>
        </w:rPr>
        <w:t>15hrs/week for three weeks</w:t>
      </w:r>
      <w:r>
        <w:t>. Given that I already have a solid draft, I believe this will be sufficient time to complete.</w:t>
      </w:r>
      <w:bookmarkEnd w:id="4"/>
    </w:p>
    <w:sectPr w:rsidR="00F3703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1329E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03AD9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50360853">
    <w:abstractNumId w:val="0"/>
  </w:num>
  <w:num w:numId="2" w16cid:durableId="31924423">
    <w:abstractNumId w:val="1"/>
  </w:num>
  <w:num w:numId="3" w16cid:durableId="2089232555">
    <w:abstractNumId w:val="1"/>
  </w:num>
  <w:num w:numId="4" w16cid:durableId="1861506728">
    <w:abstractNumId w:val="1"/>
  </w:num>
  <w:num w:numId="5" w16cid:durableId="578711211">
    <w:abstractNumId w:val="0"/>
  </w:num>
  <w:num w:numId="6" w16cid:durableId="581910883">
    <w:abstractNumId w:val="1"/>
  </w:num>
  <w:num w:numId="7" w16cid:durableId="444883747">
    <w:abstractNumId w:val="1"/>
  </w:num>
  <w:num w:numId="8" w16cid:durableId="585071206">
    <w:abstractNumId w:val="1"/>
  </w:num>
  <w:num w:numId="9" w16cid:durableId="2116246252">
    <w:abstractNumId w:val="0"/>
  </w:num>
  <w:num w:numId="10" w16cid:durableId="410812099">
    <w:abstractNumId w:val="1"/>
  </w:num>
  <w:num w:numId="11" w16cid:durableId="1563324839">
    <w:abstractNumId w:val="1"/>
  </w:num>
  <w:num w:numId="12" w16cid:durableId="1281303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F1E"/>
    <w:rsid w:val="00006798"/>
    <w:rsid w:val="00027097"/>
    <w:rsid w:val="0009108D"/>
    <w:rsid w:val="000D4A0A"/>
    <w:rsid w:val="00250423"/>
    <w:rsid w:val="00264915"/>
    <w:rsid w:val="002F7A5C"/>
    <w:rsid w:val="00463ABB"/>
    <w:rsid w:val="004A47A1"/>
    <w:rsid w:val="005004EC"/>
    <w:rsid w:val="0050783D"/>
    <w:rsid w:val="005140B5"/>
    <w:rsid w:val="005236D1"/>
    <w:rsid w:val="005D736E"/>
    <w:rsid w:val="007F71F2"/>
    <w:rsid w:val="00862D1C"/>
    <w:rsid w:val="008D7C55"/>
    <w:rsid w:val="009E4275"/>
    <w:rsid w:val="00A3694F"/>
    <w:rsid w:val="00BE6F79"/>
    <w:rsid w:val="00D31010"/>
    <w:rsid w:val="00D45F1E"/>
    <w:rsid w:val="00D92774"/>
    <w:rsid w:val="00DE0F3F"/>
    <w:rsid w:val="00F37030"/>
    <w:rsid w:val="00FC5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B2DE0"/>
  <w15:docId w15:val="{F6988581-8B0B-4B1C-8F32-DCE8F74D9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71F2"/>
    <w:pPr>
      <w:spacing w:before="120" w:after="0"/>
    </w:pPr>
    <w:rPr>
      <w:sz w:val="22"/>
    </w:rPr>
  </w:style>
  <w:style w:type="paragraph" w:styleId="Heading1">
    <w:name w:val="heading 1"/>
    <w:basedOn w:val="Normal"/>
    <w:next w:val="BodyText"/>
    <w:link w:val="Heading1Char"/>
    <w:uiPriority w:val="9"/>
    <w:qFormat/>
    <w:rsid w:val="007F71F2"/>
    <w:pPr>
      <w:keepNext/>
      <w:keepLines/>
      <w:spacing w:before="240"/>
      <w:outlineLvl w:val="0"/>
    </w:pPr>
    <w:rPr>
      <w:rFonts w:asciiTheme="majorHAnsi" w:eastAsiaTheme="majorEastAsia" w:hAnsiTheme="majorHAnsi" w:cstheme="majorBidi"/>
      <w:color w:val="0F4761" w:themeColor="accent1" w:themeShade="BF"/>
      <w:sz w:val="36"/>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7F71F2"/>
    <w:pPr>
      <w:contextualSpacing/>
    </w:pPr>
    <w:rPr>
      <w:rFonts w:asciiTheme="majorHAnsi" w:eastAsiaTheme="majorEastAsia" w:hAnsiTheme="majorHAnsi" w:cstheme="majorBidi"/>
      <w:sz w:val="48"/>
      <w:szCs w:val="56"/>
    </w:rPr>
  </w:style>
  <w:style w:type="character" w:customStyle="1" w:styleId="TitleChar">
    <w:name w:val="Title Char"/>
    <w:basedOn w:val="DefaultParagraphFont"/>
    <w:link w:val="Title"/>
    <w:uiPriority w:val="10"/>
    <w:rsid w:val="007F71F2"/>
    <w:rPr>
      <w:rFonts w:asciiTheme="majorHAnsi" w:eastAsiaTheme="majorEastAsia" w:hAnsiTheme="majorHAnsi" w:cstheme="majorBidi"/>
      <w:sz w:val="48"/>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7F71F2"/>
    <w:rPr>
      <w:rFonts w:asciiTheme="majorHAnsi" w:eastAsiaTheme="majorEastAsia" w:hAnsiTheme="majorHAnsi" w:cstheme="majorBidi"/>
      <w:color w:val="0F4761" w:themeColor="accent1" w:themeShade="BF"/>
      <w:sz w:val="36"/>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305</Words>
  <Characters>1742</Characters>
  <Application>Microsoft Office Word</Application>
  <DocSecurity>0</DocSecurity>
  <Lines>14</Lines>
  <Paragraphs>4</Paragraphs>
  <ScaleCrop>false</ScaleCrop>
  <Company>Nationwide</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the Proper Use of Relativities for Insurance Rating Factors</dc:title>
  <dc:creator>Ariel Balter</dc:creator>
  <cp:keywords/>
  <cp:lastModifiedBy>Balter, Ariel</cp:lastModifiedBy>
  <cp:revision>9</cp:revision>
  <dcterms:created xsi:type="dcterms:W3CDTF">2026-10-18T21:27:00Z</dcterms:created>
  <dcterms:modified xsi:type="dcterms:W3CDTF">2026-10-18T21:36:00Z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2026-10-16</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MSIP_Label_92ea8e88-16c4-4b55-a945-7bd6248db4bf_Enabled">
    <vt:lpwstr>true</vt:lpwstr>
  </property>
  <property fmtid="{D5CDD505-2E9C-101B-9397-08002B2CF9AE}" pid="13" name="MSIP_Label_92ea8e88-16c4-4b55-a945-7bd6248db4bf_SetDate">
    <vt:lpwstr>2026-10-18T21:28:43Z</vt:lpwstr>
  </property>
  <property fmtid="{D5CDD505-2E9C-101B-9397-08002B2CF9AE}" pid="14" name="MSIP_Label_92ea8e88-16c4-4b55-a945-7bd6248db4bf_Method">
    <vt:lpwstr>Standard</vt:lpwstr>
  </property>
  <property fmtid="{D5CDD505-2E9C-101B-9397-08002B2CF9AE}" pid="15" name="MSIP_Label_92ea8e88-16c4-4b55-a945-7bd6248db4bf_Name">
    <vt:lpwstr>Internal</vt:lpwstr>
  </property>
  <property fmtid="{D5CDD505-2E9C-101B-9397-08002B2CF9AE}" pid="16" name="MSIP_Label_92ea8e88-16c4-4b55-a945-7bd6248db4bf_SiteId">
    <vt:lpwstr>22140e4c-d390-45c2-b297-a26c516dc461</vt:lpwstr>
  </property>
  <property fmtid="{D5CDD505-2E9C-101B-9397-08002B2CF9AE}" pid="17" name="MSIP_Label_92ea8e88-16c4-4b55-a945-7bd6248db4bf_ActionId">
    <vt:lpwstr>f8cab98b-1191-4278-8d02-eebb0ce3de68</vt:lpwstr>
  </property>
  <property fmtid="{D5CDD505-2E9C-101B-9397-08002B2CF9AE}" pid="18" name="MSIP_Label_92ea8e88-16c4-4b55-a945-7bd6248db4bf_ContentBits">
    <vt:lpwstr>0</vt:lpwstr>
  </property>
  <property fmtid="{D5CDD505-2E9C-101B-9397-08002B2CF9AE}" pid="19" name="MSIP_Label_92ea8e88-16c4-4b55-a945-7bd6248db4bf_Tag">
    <vt:lpwstr>10, 3, 0, 1</vt:lpwstr>
  </property>
</Properties>
</file>