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84634" w14:textId="3139E8F0" w:rsidR="00582D3B" w:rsidRPr="00AA099C" w:rsidRDefault="000B2EAA"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 xml:space="preserve">Sweet Treasure Studios is evaluating a change in their mobile game, </w:t>
      </w:r>
      <w:r w:rsidRPr="00AA099C">
        <w:rPr>
          <w:rFonts w:ascii="Times New Roman" w:hAnsi="Times New Roman" w:cs="Times New Roman"/>
          <w:i/>
          <w:iCs/>
          <w:sz w:val="22"/>
          <w:szCs w:val="22"/>
        </w:rPr>
        <w:t>Sweets Smash</w:t>
      </w:r>
      <w:r w:rsidRPr="00AA099C">
        <w:rPr>
          <w:rFonts w:ascii="Times New Roman" w:hAnsi="Times New Roman" w:cs="Times New Roman"/>
          <w:sz w:val="22"/>
          <w:szCs w:val="22"/>
        </w:rPr>
        <w:t>, to enhance player engagement. The goal is to compare the effectiveness of two transition methods: the current approach, Method A</w:t>
      </w:r>
      <w:r w:rsidRPr="00AA099C">
        <w:rPr>
          <w:rFonts w:ascii="Times New Roman" w:hAnsi="Times New Roman" w:cs="Times New Roman"/>
          <w:sz w:val="22"/>
          <w:szCs w:val="22"/>
        </w:rPr>
        <w:t>,</w:t>
      </w:r>
      <w:r w:rsidRPr="00AA099C">
        <w:rPr>
          <w:rFonts w:ascii="Times New Roman" w:hAnsi="Times New Roman" w:cs="Times New Roman"/>
          <w:sz w:val="22"/>
          <w:szCs w:val="22"/>
        </w:rPr>
        <w:t xml:space="preserve"> where candy hitboxes gradually shrink, and a new approach, Method </w:t>
      </w:r>
      <w:r w:rsidRPr="00AA099C">
        <w:rPr>
          <w:rFonts w:ascii="Times New Roman" w:hAnsi="Times New Roman" w:cs="Times New Roman"/>
          <w:sz w:val="22"/>
          <w:szCs w:val="22"/>
        </w:rPr>
        <w:t>B</w:t>
      </w:r>
      <w:r w:rsidRPr="00AA099C">
        <w:rPr>
          <w:rFonts w:ascii="Times New Roman" w:hAnsi="Times New Roman" w:cs="Times New Roman"/>
          <w:sz w:val="22"/>
          <w:szCs w:val="22"/>
        </w:rPr>
        <w:t>, where the proportion of candies with enlarged hitboxes is reduced. The key question is whether Method B can increase weekly playtime, potentially leading to greater player retention and more in-game purchases.</w:t>
      </w:r>
      <w:r w:rsidRPr="00AA099C">
        <w:rPr>
          <w:rFonts w:ascii="Times New Roman" w:hAnsi="Times New Roman" w:cs="Times New Roman"/>
          <w:sz w:val="22"/>
          <w:szCs w:val="22"/>
        </w:rPr>
        <w:t xml:space="preserve"> </w:t>
      </w:r>
      <w:r w:rsidR="00582D3B" w:rsidRPr="00AA099C">
        <w:rPr>
          <w:rFonts w:ascii="Times New Roman" w:hAnsi="Times New Roman" w:cs="Times New Roman"/>
          <w:sz w:val="22"/>
          <w:szCs w:val="22"/>
        </w:rPr>
        <w:t>Our analysis investigates if Method B significantly increases playtime compared to Method A. A higher average weekly playtime could indicate greater engagement, supporting a switch to Method B to drive higher in-game purchases.</w:t>
      </w:r>
    </w:p>
    <w:p w14:paraId="7C136587" w14:textId="77777777" w:rsidR="003F52E5" w:rsidRPr="00AA099C" w:rsidRDefault="003F52E5" w:rsidP="00AA099C">
      <w:pPr>
        <w:spacing w:line="360" w:lineRule="auto"/>
        <w:rPr>
          <w:rFonts w:ascii="Times New Roman" w:hAnsi="Times New Roman" w:cs="Times New Roman"/>
          <w:sz w:val="22"/>
          <w:szCs w:val="22"/>
        </w:rPr>
      </w:pPr>
    </w:p>
    <w:p w14:paraId="33CC403A" w14:textId="15AA17E8" w:rsidR="00C84A0F" w:rsidRPr="00AA099C" w:rsidRDefault="000B2EAA"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To confidently assess the effectiveness of Method B, we conducted a power analysis to determine the minimum number of players required in each group. Based on a desired power of 80% and a significance level of 5%, the analysis indicated that we needed at least 23 players per group to detect a meaningful difference in playtime increase between the two methods. This ensures that our findings are statistically reliable and that any observed effects are not due to chance.</w:t>
      </w:r>
      <w:r w:rsidRPr="00AA099C">
        <w:rPr>
          <w:rFonts w:ascii="Times New Roman" w:hAnsi="Times New Roman" w:cs="Times New Roman"/>
          <w:sz w:val="22"/>
          <w:szCs w:val="22"/>
        </w:rPr>
        <w:t xml:space="preserve"> </w:t>
      </w:r>
      <w:r w:rsidR="00C84A0F" w:rsidRPr="00AA099C">
        <w:rPr>
          <w:rFonts w:ascii="Times New Roman" w:hAnsi="Times New Roman" w:cs="Times New Roman"/>
          <w:sz w:val="22"/>
          <w:szCs w:val="22"/>
        </w:rPr>
        <w:t xml:space="preserve">Playtime data were collected for players using both transition methods, measuring their playtime before and after the transition. The main variable analyzed was the </w:t>
      </w:r>
      <w:proofErr w:type="spellStart"/>
      <w:r w:rsidR="00C84A0F" w:rsidRPr="00AA099C">
        <w:rPr>
          <w:rFonts w:ascii="Times New Roman" w:hAnsi="Times New Roman" w:cs="Times New Roman"/>
          <w:sz w:val="22"/>
          <w:szCs w:val="22"/>
        </w:rPr>
        <w:t>PlayTimeDifference</w:t>
      </w:r>
      <w:proofErr w:type="spellEnd"/>
      <w:r w:rsidR="00C84A0F" w:rsidRPr="00AA099C">
        <w:rPr>
          <w:rFonts w:ascii="Times New Roman" w:hAnsi="Times New Roman" w:cs="Times New Roman"/>
          <w:sz w:val="22"/>
          <w:szCs w:val="22"/>
        </w:rPr>
        <w:t xml:space="preserve"> (the difference in weekly playtime before and after the transition). </w:t>
      </w:r>
      <w:r w:rsidR="00853A0C" w:rsidRPr="00AA099C">
        <w:rPr>
          <w:rFonts w:ascii="Times New Roman" w:hAnsi="Times New Roman" w:cs="Times New Roman"/>
          <w:sz w:val="22"/>
          <w:szCs w:val="22"/>
        </w:rPr>
        <w:t xml:space="preserve">In this analysis, the Control group refers to players who experienced the current transition method, Method A, where the hitboxes around candies gradually shrink over a week, making the game progressively more challenging. The </w:t>
      </w:r>
      <w:r w:rsidR="00853A0C" w:rsidRPr="00AA099C">
        <w:rPr>
          <w:rFonts w:ascii="Times New Roman" w:hAnsi="Times New Roman" w:cs="Times New Roman"/>
          <w:b/>
          <w:bCs/>
          <w:sz w:val="22"/>
          <w:szCs w:val="22"/>
        </w:rPr>
        <w:t>Treatment group</w:t>
      </w:r>
      <w:r w:rsidR="00853A0C" w:rsidRPr="00AA099C">
        <w:rPr>
          <w:rFonts w:ascii="Times New Roman" w:hAnsi="Times New Roman" w:cs="Times New Roman"/>
          <w:sz w:val="22"/>
          <w:szCs w:val="22"/>
        </w:rPr>
        <w:t xml:space="preserve"> includes players subjected to the proposed transition method, </w:t>
      </w:r>
      <w:r w:rsidR="00853A0C" w:rsidRPr="00AA099C">
        <w:rPr>
          <w:rFonts w:ascii="Times New Roman" w:hAnsi="Times New Roman" w:cs="Times New Roman"/>
          <w:b/>
          <w:bCs/>
          <w:sz w:val="22"/>
          <w:szCs w:val="22"/>
        </w:rPr>
        <w:t>Method B</w:t>
      </w:r>
      <w:r w:rsidR="00853A0C" w:rsidRPr="00AA099C">
        <w:rPr>
          <w:rFonts w:ascii="Times New Roman" w:hAnsi="Times New Roman" w:cs="Times New Roman"/>
          <w:sz w:val="22"/>
          <w:szCs w:val="22"/>
        </w:rPr>
        <w:t>, in which the proportion of candies with enlarged hitboxes is gradually reduced, rather than shrinking the hitboxes themselves.</w:t>
      </w:r>
    </w:p>
    <w:p w14:paraId="034B96F1" w14:textId="77777777" w:rsidR="00F30428" w:rsidRPr="00AA099C" w:rsidRDefault="00F30428" w:rsidP="00AA099C">
      <w:pPr>
        <w:spacing w:line="360" w:lineRule="auto"/>
        <w:rPr>
          <w:rFonts w:ascii="Times New Roman" w:hAnsi="Times New Roman" w:cs="Times New Roman"/>
          <w:sz w:val="22"/>
          <w:szCs w:val="22"/>
        </w:rPr>
      </w:pPr>
    </w:p>
    <w:p w14:paraId="7CE9BC4D" w14:textId="0B1D9844" w:rsidR="003F52E5" w:rsidRPr="00AA099C" w:rsidRDefault="003F52E5"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The</w:t>
      </w:r>
      <w:r w:rsidRPr="00AA099C">
        <w:rPr>
          <w:rFonts w:ascii="Times New Roman" w:hAnsi="Times New Roman" w:cs="Times New Roman"/>
          <w:sz w:val="22"/>
          <w:szCs w:val="22"/>
        </w:rPr>
        <w:t xml:space="preserve"> boxplot supports the idea that Method B generally yields a higher increase in playtime than Method A. The greater median and upper range for the Treatment group indicate that Method B is likely more effective in boosting player engagement</w:t>
      </w:r>
      <w:r w:rsidR="00AA099C" w:rsidRPr="00AA099C">
        <w:rPr>
          <w:rFonts w:ascii="Times New Roman" w:hAnsi="Times New Roman" w:cs="Times New Roman"/>
          <w:sz w:val="22"/>
          <w:szCs w:val="22"/>
        </w:rPr>
        <w:t xml:space="preserve">. </w:t>
      </w:r>
      <w:r w:rsidR="00C84A0F" w:rsidRPr="00AA099C">
        <w:rPr>
          <w:rFonts w:ascii="Times New Roman" w:hAnsi="Times New Roman" w:cs="Times New Roman"/>
          <w:sz w:val="22"/>
          <w:szCs w:val="22"/>
        </w:rPr>
        <w:t xml:space="preserve">The clustering of red points </w:t>
      </w:r>
      <w:r w:rsidR="00F30428" w:rsidRPr="00AA099C">
        <w:rPr>
          <w:rFonts w:ascii="Times New Roman" w:hAnsi="Times New Roman" w:cs="Times New Roman"/>
          <w:sz w:val="22"/>
          <w:szCs w:val="22"/>
        </w:rPr>
        <w:t xml:space="preserve">in the scatter plot </w:t>
      </w:r>
      <w:r w:rsidR="00AA099C" w:rsidRPr="00AA099C">
        <w:rPr>
          <w:rFonts w:ascii="Times New Roman" w:hAnsi="Times New Roman" w:cs="Times New Roman"/>
          <w:sz w:val="22"/>
          <w:szCs w:val="22"/>
        </w:rPr>
        <w:t xml:space="preserve">below </w:t>
      </w:r>
      <w:r w:rsidR="00C84A0F" w:rsidRPr="00AA099C">
        <w:rPr>
          <w:rFonts w:ascii="Times New Roman" w:hAnsi="Times New Roman" w:cs="Times New Roman"/>
          <w:sz w:val="22"/>
          <w:szCs w:val="22"/>
        </w:rPr>
        <w:t xml:space="preserve">at higher playtime levels after the transition phase </w:t>
      </w:r>
      <w:r w:rsidR="00AA099C" w:rsidRPr="00AA099C">
        <w:rPr>
          <w:rFonts w:ascii="Times New Roman" w:hAnsi="Times New Roman" w:cs="Times New Roman"/>
          <w:sz w:val="22"/>
          <w:szCs w:val="22"/>
        </w:rPr>
        <w:t xml:space="preserve">also </w:t>
      </w:r>
      <w:r w:rsidR="00C84A0F" w:rsidRPr="00AA099C">
        <w:rPr>
          <w:rFonts w:ascii="Times New Roman" w:hAnsi="Times New Roman" w:cs="Times New Roman"/>
          <w:sz w:val="22"/>
          <w:szCs w:val="22"/>
        </w:rPr>
        <w:t>suggests that Method B is effective in maintaining or enhancing player engagement, reinforcing its potential as a preferred method for the transition.</w:t>
      </w:r>
    </w:p>
    <w:p w14:paraId="09293832" w14:textId="14C86AE4" w:rsidR="00492438" w:rsidRPr="00AA099C" w:rsidRDefault="003F52E5" w:rsidP="00AA099C">
      <w:pPr>
        <w:spacing w:line="360" w:lineRule="auto"/>
        <w:rPr>
          <w:rFonts w:ascii="Times New Roman" w:hAnsi="Times New Roman" w:cs="Times New Roman"/>
          <w:sz w:val="22"/>
          <w:szCs w:val="22"/>
        </w:rPr>
      </w:pPr>
      <w:r w:rsidRPr="00AA099C">
        <w:rPr>
          <w:rFonts w:ascii="Times New Roman" w:hAnsi="Times New Roman" w:cs="Times New Roman"/>
          <w:noProof/>
          <w:sz w:val="22"/>
          <w:szCs w:val="22"/>
        </w:rPr>
        <w:lastRenderedPageBreak/>
        <w:drawing>
          <wp:inline distT="0" distB="0" distL="0" distR="0" wp14:anchorId="3FCDAF55" wp14:editId="1D6E36AB">
            <wp:extent cx="2777791" cy="2290194"/>
            <wp:effectExtent l="0" t="0" r="3810" b="0"/>
            <wp:docPr id="99202799" name="Picture 3" descr="A diagram of a box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2799" name="Picture 3" descr="A diagram of a box with red and blue squar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5100" cy="2320954"/>
                    </a:xfrm>
                    <a:prstGeom prst="rect">
                      <a:avLst/>
                    </a:prstGeom>
                  </pic:spPr>
                </pic:pic>
              </a:graphicData>
            </a:graphic>
          </wp:inline>
        </w:drawing>
      </w:r>
      <w:r w:rsidRPr="00AA099C">
        <w:rPr>
          <w:rFonts w:ascii="Times New Roman" w:hAnsi="Times New Roman" w:cs="Times New Roman"/>
          <w:noProof/>
          <w:sz w:val="22"/>
          <w:szCs w:val="22"/>
        </w:rPr>
        <w:drawing>
          <wp:inline distT="0" distB="0" distL="0" distR="0" wp14:anchorId="04D5E287" wp14:editId="5B13B0B0">
            <wp:extent cx="2439714" cy="2206304"/>
            <wp:effectExtent l="0" t="0" r="0" b="3810"/>
            <wp:docPr id="1184529302"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2724" name="Picture 1" descr="A graph with red and blue dots&#10;&#10;Description automatically generated"/>
                    <pic:cNvPicPr/>
                  </pic:nvPicPr>
                  <pic:blipFill rotWithShape="1">
                    <a:blip r:embed="rId6" cstate="print">
                      <a:extLst>
                        <a:ext uri="{28A0092B-C50C-407E-A947-70E740481C1C}">
                          <a14:useLocalDpi xmlns:a14="http://schemas.microsoft.com/office/drawing/2010/main" val="0"/>
                        </a:ext>
                      </a:extLst>
                    </a:blip>
                    <a:srcRect l="1203" r="1923"/>
                    <a:stretch/>
                  </pic:blipFill>
                  <pic:spPr bwMode="auto">
                    <a:xfrm>
                      <a:off x="0" y="0"/>
                      <a:ext cx="2502011" cy="2262641"/>
                    </a:xfrm>
                    <a:prstGeom prst="rect">
                      <a:avLst/>
                    </a:prstGeom>
                    <a:ln>
                      <a:noFill/>
                    </a:ln>
                    <a:extLst>
                      <a:ext uri="{53640926-AAD7-44D8-BBD7-CCE9431645EC}">
                        <a14:shadowObscured xmlns:a14="http://schemas.microsoft.com/office/drawing/2010/main"/>
                      </a:ext>
                    </a:extLst>
                  </pic:spPr>
                </pic:pic>
              </a:graphicData>
            </a:graphic>
          </wp:inline>
        </w:drawing>
      </w:r>
    </w:p>
    <w:p w14:paraId="7F3DD8FC" w14:textId="6FFC7FF3" w:rsidR="00F30428" w:rsidRPr="00AA099C" w:rsidRDefault="00F30428"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 xml:space="preserve">The increase in maximum, minimum, and mean playtime after the transition phase indicates that the transition strategies (Method A and B) positively impact player retention and engagement. </w:t>
      </w:r>
    </w:p>
    <w:tbl>
      <w:tblPr>
        <w:tblStyle w:val="GridTable4-Accent2"/>
        <w:tblW w:w="0" w:type="auto"/>
        <w:tblLook w:val="04A0" w:firstRow="1" w:lastRow="0" w:firstColumn="1" w:lastColumn="0" w:noHBand="0" w:noVBand="1"/>
      </w:tblPr>
      <w:tblGrid>
        <w:gridCol w:w="2104"/>
        <w:gridCol w:w="1527"/>
        <w:gridCol w:w="1497"/>
        <w:gridCol w:w="1548"/>
      </w:tblGrid>
      <w:tr w:rsidR="00492438" w:rsidRPr="00AA099C" w14:paraId="7040078E" w14:textId="77777777" w:rsidTr="00F30428">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104" w:type="dxa"/>
          </w:tcPr>
          <w:p w14:paraId="0D5D9362" w14:textId="77777777" w:rsidR="00492438" w:rsidRPr="00AA099C" w:rsidRDefault="00492438" w:rsidP="00AA099C">
            <w:pPr>
              <w:spacing w:line="360" w:lineRule="auto"/>
              <w:rPr>
                <w:rFonts w:ascii="Times New Roman" w:hAnsi="Times New Roman" w:cs="Times New Roman"/>
                <w:b w:val="0"/>
                <w:bCs w:val="0"/>
                <w:sz w:val="22"/>
                <w:szCs w:val="22"/>
              </w:rPr>
            </w:pPr>
            <w:r w:rsidRPr="00AA099C">
              <w:rPr>
                <w:rFonts w:ascii="Times New Roman" w:hAnsi="Times New Roman" w:cs="Times New Roman"/>
                <w:b w:val="0"/>
                <w:bCs w:val="0"/>
                <w:sz w:val="22"/>
                <w:szCs w:val="22"/>
              </w:rPr>
              <w:t>Statistic</w:t>
            </w:r>
          </w:p>
        </w:tc>
        <w:tc>
          <w:tcPr>
            <w:tcW w:w="1527" w:type="dxa"/>
          </w:tcPr>
          <w:p w14:paraId="59EBD970" w14:textId="77777777" w:rsidR="00492438" w:rsidRPr="00AA099C" w:rsidRDefault="00492438"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Maximum</w:t>
            </w:r>
          </w:p>
        </w:tc>
        <w:tc>
          <w:tcPr>
            <w:tcW w:w="1497" w:type="dxa"/>
          </w:tcPr>
          <w:p w14:paraId="4801786D" w14:textId="77777777" w:rsidR="00492438" w:rsidRPr="00AA099C" w:rsidRDefault="00492438"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Mean</w:t>
            </w:r>
          </w:p>
        </w:tc>
        <w:tc>
          <w:tcPr>
            <w:tcW w:w="1548" w:type="dxa"/>
          </w:tcPr>
          <w:p w14:paraId="7B75C629" w14:textId="77777777" w:rsidR="00492438" w:rsidRPr="00AA099C" w:rsidRDefault="00492438"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Minimum</w:t>
            </w:r>
          </w:p>
        </w:tc>
      </w:tr>
      <w:tr w:rsidR="00492438" w:rsidRPr="00AA099C" w14:paraId="271AE735" w14:textId="77777777" w:rsidTr="00F30428">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104" w:type="dxa"/>
          </w:tcPr>
          <w:p w14:paraId="636ECBBE" w14:textId="77777777" w:rsidR="00492438" w:rsidRPr="00AA099C" w:rsidRDefault="00492438" w:rsidP="00AA099C">
            <w:pPr>
              <w:spacing w:line="360" w:lineRule="auto"/>
              <w:rPr>
                <w:rFonts w:ascii="Times New Roman" w:hAnsi="Times New Roman" w:cs="Times New Roman"/>
                <w:b w:val="0"/>
                <w:bCs w:val="0"/>
                <w:sz w:val="22"/>
                <w:szCs w:val="22"/>
              </w:rPr>
            </w:pPr>
            <w:r w:rsidRPr="00AA099C">
              <w:rPr>
                <w:rFonts w:ascii="Times New Roman" w:hAnsi="Times New Roman" w:cs="Times New Roman"/>
                <w:b w:val="0"/>
                <w:bCs w:val="0"/>
                <w:sz w:val="22"/>
                <w:szCs w:val="22"/>
              </w:rPr>
              <w:t>Play Time Before</w:t>
            </w:r>
          </w:p>
        </w:tc>
        <w:tc>
          <w:tcPr>
            <w:tcW w:w="1527" w:type="dxa"/>
          </w:tcPr>
          <w:p w14:paraId="2C8B2D4A" w14:textId="77777777" w:rsidR="00492438" w:rsidRPr="00AA099C" w:rsidRDefault="00492438"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278</w:t>
            </w:r>
          </w:p>
        </w:tc>
        <w:tc>
          <w:tcPr>
            <w:tcW w:w="1497" w:type="dxa"/>
          </w:tcPr>
          <w:p w14:paraId="72552D9F" w14:textId="77777777" w:rsidR="00492438" w:rsidRPr="00AA099C" w:rsidRDefault="00492438"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251.26</w:t>
            </w:r>
          </w:p>
        </w:tc>
        <w:tc>
          <w:tcPr>
            <w:tcW w:w="1548" w:type="dxa"/>
          </w:tcPr>
          <w:p w14:paraId="48C42060" w14:textId="77777777" w:rsidR="00492438" w:rsidRPr="00AA099C" w:rsidRDefault="00492438"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230</w:t>
            </w:r>
          </w:p>
        </w:tc>
      </w:tr>
      <w:tr w:rsidR="00492438" w:rsidRPr="00AA099C" w14:paraId="5E9F4553" w14:textId="77777777" w:rsidTr="00F30428">
        <w:trPr>
          <w:trHeight w:val="516"/>
        </w:trPr>
        <w:tc>
          <w:tcPr>
            <w:cnfStyle w:val="001000000000" w:firstRow="0" w:lastRow="0" w:firstColumn="1" w:lastColumn="0" w:oddVBand="0" w:evenVBand="0" w:oddHBand="0" w:evenHBand="0" w:firstRowFirstColumn="0" w:firstRowLastColumn="0" w:lastRowFirstColumn="0" w:lastRowLastColumn="0"/>
            <w:tcW w:w="2104" w:type="dxa"/>
          </w:tcPr>
          <w:p w14:paraId="4E24980C" w14:textId="77777777" w:rsidR="00492438" w:rsidRPr="00AA099C" w:rsidRDefault="00492438" w:rsidP="00AA099C">
            <w:pPr>
              <w:spacing w:line="360" w:lineRule="auto"/>
              <w:rPr>
                <w:rFonts w:ascii="Times New Roman" w:hAnsi="Times New Roman" w:cs="Times New Roman"/>
                <w:b w:val="0"/>
                <w:bCs w:val="0"/>
                <w:sz w:val="22"/>
                <w:szCs w:val="22"/>
              </w:rPr>
            </w:pPr>
            <w:r w:rsidRPr="00AA099C">
              <w:rPr>
                <w:rFonts w:ascii="Times New Roman" w:hAnsi="Times New Roman" w:cs="Times New Roman"/>
                <w:b w:val="0"/>
                <w:bCs w:val="0"/>
                <w:sz w:val="22"/>
                <w:szCs w:val="22"/>
              </w:rPr>
              <w:t>Play Time After</w:t>
            </w:r>
          </w:p>
        </w:tc>
        <w:tc>
          <w:tcPr>
            <w:tcW w:w="1527" w:type="dxa"/>
          </w:tcPr>
          <w:p w14:paraId="6CE9DC3F" w14:textId="77777777" w:rsidR="00492438" w:rsidRPr="00AA099C" w:rsidRDefault="00492438"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332</w:t>
            </w:r>
          </w:p>
        </w:tc>
        <w:tc>
          <w:tcPr>
            <w:tcW w:w="1497" w:type="dxa"/>
          </w:tcPr>
          <w:p w14:paraId="62B35F8F" w14:textId="77777777" w:rsidR="00492438" w:rsidRPr="00AA099C" w:rsidRDefault="00492438"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293.54</w:t>
            </w:r>
          </w:p>
        </w:tc>
        <w:tc>
          <w:tcPr>
            <w:tcW w:w="1548" w:type="dxa"/>
          </w:tcPr>
          <w:p w14:paraId="1665E8C3" w14:textId="77777777" w:rsidR="00492438" w:rsidRPr="00AA099C" w:rsidRDefault="00492438"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237</w:t>
            </w:r>
          </w:p>
        </w:tc>
      </w:tr>
    </w:tbl>
    <w:p w14:paraId="1F335BBE" w14:textId="77777777" w:rsidR="00492438" w:rsidRPr="00AA099C" w:rsidRDefault="00492438" w:rsidP="00AA099C">
      <w:pPr>
        <w:spacing w:line="360" w:lineRule="auto"/>
        <w:rPr>
          <w:rFonts w:ascii="Times New Roman" w:hAnsi="Times New Roman" w:cs="Times New Roman"/>
          <w:sz w:val="22"/>
          <w:szCs w:val="22"/>
        </w:rPr>
      </w:pPr>
    </w:p>
    <w:p w14:paraId="06A77AFF" w14:textId="0CBF7C87" w:rsidR="004B531D" w:rsidRPr="00AA099C" w:rsidRDefault="00853A0C" w:rsidP="00AA099C">
      <w:pPr>
        <w:spacing w:line="360" w:lineRule="auto"/>
        <w:rPr>
          <w:rFonts w:ascii="Times New Roman" w:hAnsi="Times New Roman" w:cs="Times New Roman"/>
          <w:sz w:val="22"/>
          <w:szCs w:val="22"/>
        </w:rPr>
      </w:pPr>
      <w:r w:rsidRPr="00853A0C">
        <w:rPr>
          <w:rFonts w:ascii="Times New Roman" w:hAnsi="Times New Roman" w:cs="Times New Roman"/>
          <w:sz w:val="22"/>
          <w:szCs w:val="22"/>
        </w:rPr>
        <w:t>To systematically study the relationship between the transition method and playtime differences, we conducted a two-sample t-test comparing the average playtime increases between the Control group and the Treatment group. The test with full output</w:t>
      </w:r>
      <w:r w:rsidR="00AA099C" w:rsidRPr="00AA099C">
        <w:rPr>
          <w:rFonts w:ascii="Times New Roman" w:hAnsi="Times New Roman" w:cs="Times New Roman"/>
          <w:sz w:val="22"/>
          <w:szCs w:val="22"/>
        </w:rPr>
        <w:t xml:space="preserve"> is</w:t>
      </w:r>
      <w:r w:rsidRPr="00853A0C">
        <w:rPr>
          <w:rFonts w:ascii="Times New Roman" w:hAnsi="Times New Roman" w:cs="Times New Roman"/>
          <w:sz w:val="22"/>
          <w:szCs w:val="22"/>
        </w:rPr>
        <w:t xml:space="preserve"> available in the appendix.</w:t>
      </w:r>
      <w:r w:rsidR="004B531D" w:rsidRPr="00AA099C">
        <w:rPr>
          <w:rFonts w:ascii="Times New Roman" w:hAnsi="Times New Roman" w:cs="Times New Roman"/>
          <w:sz w:val="22"/>
          <w:szCs w:val="22"/>
        </w:rPr>
        <w:t xml:space="preserve"> </w:t>
      </w:r>
      <w:r w:rsidRPr="00853A0C">
        <w:rPr>
          <w:rFonts w:ascii="Times New Roman" w:hAnsi="Times New Roman" w:cs="Times New Roman"/>
          <w:sz w:val="22"/>
          <w:szCs w:val="22"/>
        </w:rPr>
        <w:t>The t-test revealed a significant difference in playtime increases between the two groups. Specifically, the Treatment group showed a higher mean increase in playtime (55.44 minutes) compared to the Control group (33.82 minutes), with a t-statistic of 5.1861, and a p-value of 2.601e-06. The 95% confidence interval for the difference in means indicates that this difference is greater than zero, providing strong evidence that Method B leads to a significantly larger increase in playtime than Method A.</w:t>
      </w:r>
      <w:r w:rsidR="004B531D" w:rsidRPr="00AA099C">
        <w:rPr>
          <w:rFonts w:ascii="Times New Roman" w:hAnsi="Times New Roman" w:cs="Times New Roman"/>
          <w:sz w:val="22"/>
          <w:szCs w:val="22"/>
        </w:rPr>
        <w:t xml:space="preserve"> </w:t>
      </w:r>
      <w:r w:rsidRPr="00853A0C">
        <w:rPr>
          <w:rFonts w:ascii="Times New Roman" w:hAnsi="Times New Roman" w:cs="Times New Roman"/>
          <w:sz w:val="22"/>
          <w:szCs w:val="22"/>
        </w:rPr>
        <w:t>This statistically significant result suggests that Method B could be more effective in increasing player engagement, supporting Sweet Treasure Studios’ goal of enhancing in-game retention and potential monetization through longer play sessions.</w:t>
      </w:r>
    </w:p>
    <w:p w14:paraId="1A346644" w14:textId="77777777" w:rsidR="004B531D" w:rsidRPr="00AA099C" w:rsidRDefault="004B531D" w:rsidP="00AA099C">
      <w:pPr>
        <w:spacing w:line="360" w:lineRule="auto"/>
        <w:rPr>
          <w:rFonts w:ascii="Times New Roman" w:hAnsi="Times New Roman" w:cs="Times New Roman"/>
          <w:sz w:val="22"/>
          <w:szCs w:val="22"/>
        </w:rPr>
      </w:pPr>
    </w:p>
    <w:p w14:paraId="6F492361" w14:textId="3D529D5F" w:rsidR="00582D3B" w:rsidRPr="00AA099C" w:rsidRDefault="004B531D"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However, additional factors, such as player skill level, game phase, or other in-game dynamics, may also influence playtime and should be considered in future studies. It is possible that further data collection and analysis of these factors could provide a more comprehensive understanding of what drives player engagement, allowing Sweet Treasure Studios to refine their transition strategy for even better retention outcomes.</w:t>
      </w:r>
    </w:p>
    <w:p w14:paraId="2BA22941" w14:textId="7ECD1932" w:rsidR="00B7423A" w:rsidRPr="00AA099C" w:rsidRDefault="00B7423A" w:rsidP="00AA099C">
      <w:pPr>
        <w:spacing w:line="360" w:lineRule="auto"/>
        <w:rPr>
          <w:rFonts w:ascii="Times New Roman" w:hAnsi="Times New Roman" w:cs="Times New Roman"/>
          <w:sz w:val="22"/>
          <w:szCs w:val="22"/>
        </w:rPr>
      </w:pPr>
    </w:p>
    <w:p w14:paraId="07157DA8" w14:textId="77777777" w:rsidR="00B7423A" w:rsidRPr="00AA099C" w:rsidRDefault="00B7423A" w:rsidP="00AA099C">
      <w:pPr>
        <w:spacing w:line="360" w:lineRule="auto"/>
        <w:rPr>
          <w:rFonts w:ascii="Times New Roman" w:hAnsi="Times New Roman" w:cs="Times New Roman"/>
          <w:b/>
          <w:bCs/>
          <w:sz w:val="22"/>
          <w:szCs w:val="22"/>
        </w:rPr>
      </w:pPr>
      <w:r w:rsidRPr="00AA099C">
        <w:rPr>
          <w:rFonts w:ascii="Times New Roman" w:hAnsi="Times New Roman" w:cs="Times New Roman"/>
          <w:b/>
          <w:bCs/>
          <w:sz w:val="22"/>
          <w:szCs w:val="22"/>
        </w:rPr>
        <w:lastRenderedPageBreak/>
        <w:t>Appendix</w:t>
      </w:r>
    </w:p>
    <w:p w14:paraId="267DEAA1" w14:textId="36CDC8FE" w:rsidR="00114D3C" w:rsidRPr="00AA099C" w:rsidRDefault="004B531D"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 xml:space="preserve">This Appendix contains additional figures and tables detailing additional data summarization information as well as additional model fitting output. All output provided is produced by </w:t>
      </w:r>
      <w:r w:rsidRPr="00AA099C">
        <w:rPr>
          <w:rFonts w:ascii="Times New Roman" w:hAnsi="Times New Roman" w:cs="Times New Roman"/>
          <w:sz w:val="22"/>
          <w:szCs w:val="22"/>
        </w:rPr>
        <w:t>R</w:t>
      </w:r>
      <w:r w:rsidRPr="00AA099C">
        <w:rPr>
          <w:rFonts w:ascii="Times New Roman" w:hAnsi="Times New Roman" w:cs="Times New Roman"/>
          <w:sz w:val="22"/>
          <w:szCs w:val="22"/>
        </w:rPr>
        <w:t>.</w:t>
      </w:r>
    </w:p>
    <w:tbl>
      <w:tblPr>
        <w:tblStyle w:val="GridTable4-Accent2"/>
        <w:tblW w:w="0" w:type="auto"/>
        <w:tblLook w:val="04A0" w:firstRow="1" w:lastRow="0" w:firstColumn="1" w:lastColumn="0" w:noHBand="0" w:noVBand="1"/>
      </w:tblPr>
      <w:tblGrid>
        <w:gridCol w:w="2404"/>
        <w:gridCol w:w="1745"/>
        <w:gridCol w:w="1711"/>
        <w:gridCol w:w="1769"/>
        <w:gridCol w:w="1006"/>
      </w:tblGrid>
      <w:tr w:rsidR="000A3D5F" w:rsidRPr="00AA099C" w14:paraId="2D0ADB6F" w14:textId="77777777" w:rsidTr="00AA099C">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404" w:type="dxa"/>
          </w:tcPr>
          <w:p w14:paraId="0CA94807" w14:textId="0BC34767" w:rsidR="000A3D5F" w:rsidRPr="00AA099C" w:rsidRDefault="000A3D5F" w:rsidP="00AA099C">
            <w:pPr>
              <w:spacing w:line="360" w:lineRule="auto"/>
              <w:rPr>
                <w:rFonts w:ascii="Times New Roman" w:hAnsi="Times New Roman" w:cs="Times New Roman"/>
                <w:b w:val="0"/>
                <w:bCs w:val="0"/>
                <w:sz w:val="22"/>
                <w:szCs w:val="22"/>
              </w:rPr>
            </w:pPr>
            <w:proofErr w:type="spellStart"/>
            <w:r w:rsidRPr="00AA099C">
              <w:rPr>
                <w:rFonts w:ascii="Times New Roman" w:hAnsi="Times New Roman" w:cs="Times New Roman"/>
                <w:b w:val="0"/>
                <w:bCs w:val="0"/>
                <w:sz w:val="22"/>
                <w:szCs w:val="22"/>
              </w:rPr>
              <w:t>TransitionTreatment</w:t>
            </w:r>
            <w:proofErr w:type="spellEnd"/>
          </w:p>
        </w:tc>
        <w:tc>
          <w:tcPr>
            <w:tcW w:w="1745" w:type="dxa"/>
          </w:tcPr>
          <w:p w14:paraId="553CFF18" w14:textId="14924436" w:rsidR="000A3D5F" w:rsidRPr="00AA099C" w:rsidRDefault="000A3D5F"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Mean</w:t>
            </w:r>
          </w:p>
        </w:tc>
        <w:tc>
          <w:tcPr>
            <w:tcW w:w="1711" w:type="dxa"/>
          </w:tcPr>
          <w:p w14:paraId="201331A8" w14:textId="694C908C" w:rsidR="000A3D5F" w:rsidRPr="00AA099C" w:rsidRDefault="000A3D5F"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SD</w:t>
            </w:r>
          </w:p>
        </w:tc>
        <w:tc>
          <w:tcPr>
            <w:tcW w:w="1769" w:type="dxa"/>
          </w:tcPr>
          <w:p w14:paraId="1B64D020" w14:textId="4155A43A" w:rsidR="000A3D5F" w:rsidRPr="00AA099C" w:rsidRDefault="000A3D5F"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Median</w:t>
            </w:r>
          </w:p>
        </w:tc>
        <w:tc>
          <w:tcPr>
            <w:tcW w:w="1006" w:type="dxa"/>
          </w:tcPr>
          <w:p w14:paraId="05912A27" w14:textId="10DCBC0E" w:rsidR="000A3D5F" w:rsidRPr="00AA099C" w:rsidRDefault="000A3D5F" w:rsidP="00AA099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AA099C">
              <w:rPr>
                <w:rFonts w:ascii="Times New Roman" w:hAnsi="Times New Roman" w:cs="Times New Roman"/>
                <w:b w:val="0"/>
                <w:bCs w:val="0"/>
                <w:sz w:val="22"/>
                <w:szCs w:val="22"/>
              </w:rPr>
              <w:t>IQR</w:t>
            </w:r>
          </w:p>
        </w:tc>
      </w:tr>
      <w:tr w:rsidR="000A3D5F" w:rsidRPr="00AA099C" w14:paraId="229A49C8" w14:textId="77777777" w:rsidTr="00AA0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1490ECD2" w14:textId="1C88158C" w:rsidR="000A3D5F" w:rsidRPr="00AA099C" w:rsidRDefault="000A3D5F" w:rsidP="00AA099C">
            <w:pPr>
              <w:spacing w:line="360" w:lineRule="auto"/>
              <w:rPr>
                <w:rFonts w:ascii="Times New Roman" w:hAnsi="Times New Roman" w:cs="Times New Roman"/>
                <w:b w:val="0"/>
                <w:bCs w:val="0"/>
                <w:sz w:val="22"/>
                <w:szCs w:val="22"/>
              </w:rPr>
            </w:pPr>
            <w:r w:rsidRPr="00AA099C">
              <w:rPr>
                <w:rFonts w:ascii="Times New Roman" w:hAnsi="Times New Roman" w:cs="Times New Roman"/>
                <w:b w:val="0"/>
                <w:bCs w:val="0"/>
                <w:sz w:val="22"/>
                <w:szCs w:val="22"/>
              </w:rPr>
              <w:t>Control</w:t>
            </w:r>
          </w:p>
        </w:tc>
        <w:tc>
          <w:tcPr>
            <w:tcW w:w="1745" w:type="dxa"/>
          </w:tcPr>
          <w:p w14:paraId="16D9F04F" w14:textId="481D6DB0" w:rsidR="000A3D5F" w:rsidRPr="00AA099C" w:rsidRDefault="000A3D5F"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33.8</w:t>
            </w:r>
          </w:p>
        </w:tc>
        <w:tc>
          <w:tcPr>
            <w:tcW w:w="1711" w:type="dxa"/>
          </w:tcPr>
          <w:p w14:paraId="41E4CD22" w14:textId="2BFFAF89" w:rsidR="000A3D5F" w:rsidRPr="00AA099C" w:rsidRDefault="000A3D5F"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12.0</w:t>
            </w:r>
          </w:p>
        </w:tc>
        <w:tc>
          <w:tcPr>
            <w:tcW w:w="1769" w:type="dxa"/>
          </w:tcPr>
          <w:p w14:paraId="019E614E" w14:textId="0AFDEA59" w:rsidR="000A3D5F" w:rsidRPr="00AA099C" w:rsidRDefault="000A3D5F"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33.5</w:t>
            </w:r>
          </w:p>
        </w:tc>
        <w:tc>
          <w:tcPr>
            <w:tcW w:w="1006" w:type="dxa"/>
          </w:tcPr>
          <w:p w14:paraId="3407998B" w14:textId="4A140810" w:rsidR="000A3D5F" w:rsidRPr="00AA099C" w:rsidRDefault="000A3D5F" w:rsidP="00AA099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18</w:t>
            </w:r>
          </w:p>
        </w:tc>
      </w:tr>
      <w:tr w:rsidR="000A3D5F" w:rsidRPr="00AA099C" w14:paraId="60B45C02" w14:textId="77777777" w:rsidTr="00AA099C">
        <w:trPr>
          <w:trHeight w:val="269"/>
        </w:trPr>
        <w:tc>
          <w:tcPr>
            <w:cnfStyle w:val="001000000000" w:firstRow="0" w:lastRow="0" w:firstColumn="1" w:lastColumn="0" w:oddVBand="0" w:evenVBand="0" w:oddHBand="0" w:evenHBand="0" w:firstRowFirstColumn="0" w:firstRowLastColumn="0" w:lastRowFirstColumn="0" w:lastRowLastColumn="0"/>
            <w:tcW w:w="2404" w:type="dxa"/>
          </w:tcPr>
          <w:p w14:paraId="140D4C4C" w14:textId="43699E2D" w:rsidR="000A3D5F" w:rsidRPr="00AA099C" w:rsidRDefault="000A3D5F" w:rsidP="00AA099C">
            <w:pPr>
              <w:spacing w:line="360" w:lineRule="auto"/>
              <w:rPr>
                <w:rFonts w:ascii="Times New Roman" w:hAnsi="Times New Roman" w:cs="Times New Roman"/>
                <w:b w:val="0"/>
                <w:bCs w:val="0"/>
                <w:sz w:val="22"/>
                <w:szCs w:val="22"/>
              </w:rPr>
            </w:pPr>
            <w:r w:rsidRPr="00AA099C">
              <w:rPr>
                <w:rFonts w:ascii="Times New Roman" w:hAnsi="Times New Roman" w:cs="Times New Roman"/>
                <w:b w:val="0"/>
                <w:bCs w:val="0"/>
                <w:sz w:val="22"/>
                <w:szCs w:val="22"/>
              </w:rPr>
              <w:t>Treatment</w:t>
            </w:r>
          </w:p>
        </w:tc>
        <w:tc>
          <w:tcPr>
            <w:tcW w:w="1745" w:type="dxa"/>
          </w:tcPr>
          <w:p w14:paraId="5D34B824" w14:textId="03D6B88F" w:rsidR="000A3D5F" w:rsidRPr="00AA099C" w:rsidRDefault="000A3D5F"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55.4</w:t>
            </w:r>
          </w:p>
        </w:tc>
        <w:tc>
          <w:tcPr>
            <w:tcW w:w="1711" w:type="dxa"/>
          </w:tcPr>
          <w:p w14:paraId="4A892BEF" w14:textId="69D96596" w:rsidR="000A3D5F" w:rsidRPr="00AA099C" w:rsidRDefault="000A3D5F"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16.2</w:t>
            </w:r>
          </w:p>
        </w:tc>
        <w:tc>
          <w:tcPr>
            <w:tcW w:w="1769" w:type="dxa"/>
          </w:tcPr>
          <w:p w14:paraId="0B6752CF" w14:textId="541B0914" w:rsidR="000A3D5F" w:rsidRPr="00AA099C" w:rsidRDefault="000A3D5F"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52</w:t>
            </w:r>
          </w:p>
        </w:tc>
        <w:tc>
          <w:tcPr>
            <w:tcW w:w="1006" w:type="dxa"/>
          </w:tcPr>
          <w:p w14:paraId="15E080A8" w14:textId="2C381916" w:rsidR="000A3D5F" w:rsidRPr="00AA099C" w:rsidRDefault="000A3D5F" w:rsidP="00AA099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A099C">
              <w:rPr>
                <w:rFonts w:ascii="Times New Roman" w:hAnsi="Times New Roman" w:cs="Times New Roman"/>
                <w:sz w:val="22"/>
                <w:szCs w:val="22"/>
              </w:rPr>
              <w:t>19.5</w:t>
            </w:r>
          </w:p>
        </w:tc>
      </w:tr>
    </w:tbl>
    <w:p w14:paraId="34951617" w14:textId="2057A90B" w:rsidR="00AA099C" w:rsidRPr="00AA099C" w:rsidRDefault="00AA099C"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There is a general trend of increased engagement post-transition. The descriptive statistics (mean, median, standard deviation) of the playtime differences for both Method A (Control) and Method B (Treatment) are shown below.</w:t>
      </w:r>
    </w:p>
    <w:p w14:paraId="6A49A3EB" w14:textId="6425F53D" w:rsidR="000A3D5F" w:rsidRPr="00AA099C" w:rsidRDefault="00114D3C"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 xml:space="preserve">  </w:t>
      </w:r>
      <w:r w:rsidR="008B03D2" w:rsidRPr="00AA099C">
        <w:rPr>
          <w:rFonts w:ascii="Times New Roman" w:hAnsi="Times New Roman" w:cs="Times New Roman"/>
          <w:noProof/>
          <w:sz w:val="22"/>
          <w:szCs w:val="22"/>
        </w:rPr>
        <w:drawing>
          <wp:inline distT="0" distB="0" distL="0" distR="0" wp14:anchorId="5F44448A" wp14:editId="595208E1">
            <wp:extent cx="2156823" cy="1937856"/>
            <wp:effectExtent l="0" t="0" r="2540" b="5715"/>
            <wp:docPr id="784019263" name="Picture 2"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9263" name="Picture 2" descr="A graph of a normal distribution&#10;&#10;Description automatically generated"/>
                    <pic:cNvPicPr/>
                  </pic:nvPicPr>
                  <pic:blipFill rotWithShape="1">
                    <a:blip r:embed="rId7" cstate="print">
                      <a:extLst>
                        <a:ext uri="{28A0092B-C50C-407E-A947-70E740481C1C}">
                          <a14:useLocalDpi xmlns:a14="http://schemas.microsoft.com/office/drawing/2010/main" val="0"/>
                        </a:ext>
                      </a:extLst>
                    </a:blip>
                    <a:srcRect l="1436"/>
                    <a:stretch/>
                  </pic:blipFill>
                  <pic:spPr bwMode="auto">
                    <a:xfrm>
                      <a:off x="0" y="0"/>
                      <a:ext cx="2312076" cy="2077347"/>
                    </a:xfrm>
                    <a:prstGeom prst="rect">
                      <a:avLst/>
                    </a:prstGeom>
                    <a:ln>
                      <a:noFill/>
                    </a:ln>
                    <a:extLst>
                      <a:ext uri="{53640926-AAD7-44D8-BBD7-CCE9431645EC}">
                        <a14:shadowObscured xmlns:a14="http://schemas.microsoft.com/office/drawing/2010/main"/>
                      </a:ext>
                    </a:extLst>
                  </pic:spPr>
                </pic:pic>
              </a:graphicData>
            </a:graphic>
          </wp:inline>
        </w:drawing>
      </w:r>
    </w:p>
    <w:p w14:paraId="2E2A8ABE" w14:textId="7B8BDE08" w:rsidR="00B7423A" w:rsidRPr="00AA099C" w:rsidRDefault="00060949"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This density plot shows the distribution of playtime differences for both the Control group (Method A) and the Treatment group (Method B).</w:t>
      </w:r>
    </w:p>
    <w:p w14:paraId="56416545" w14:textId="6004A825" w:rsidR="00B53C98" w:rsidRPr="00AA099C" w:rsidRDefault="00463FDD" w:rsidP="00AA099C">
      <w:pPr>
        <w:spacing w:line="360" w:lineRule="auto"/>
        <w:rPr>
          <w:rFonts w:ascii="Times New Roman" w:hAnsi="Times New Roman" w:cs="Times New Roman"/>
          <w:sz w:val="22"/>
          <w:szCs w:val="22"/>
        </w:rPr>
      </w:pPr>
      <w:r w:rsidRPr="00AA099C">
        <w:rPr>
          <w:rFonts w:ascii="Times New Roman" w:hAnsi="Times New Roman" w:cs="Times New Roman"/>
          <w:noProof/>
          <w:sz w:val="22"/>
          <w:szCs w:val="22"/>
        </w:rPr>
        <w:drawing>
          <wp:inline distT="0" distB="0" distL="0" distR="0" wp14:anchorId="2DD2A1C9" wp14:editId="4F610D8F">
            <wp:extent cx="2133248" cy="2348917"/>
            <wp:effectExtent l="0" t="0" r="635" b="635"/>
            <wp:docPr id="578771887" name="Picture 5"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1887" name="Picture 5" descr="A graph of a normal q-q plo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9522" cy="2399869"/>
                    </a:xfrm>
                    <a:prstGeom prst="rect">
                      <a:avLst/>
                    </a:prstGeom>
                  </pic:spPr>
                </pic:pic>
              </a:graphicData>
            </a:graphic>
          </wp:inline>
        </w:drawing>
      </w:r>
      <w:r w:rsidRPr="00AA099C">
        <w:rPr>
          <w:rFonts w:ascii="Times New Roman" w:hAnsi="Times New Roman" w:cs="Times New Roman"/>
          <w:noProof/>
          <w:sz w:val="22"/>
          <w:szCs w:val="22"/>
        </w:rPr>
        <w:drawing>
          <wp:inline distT="0" distB="0" distL="0" distR="0" wp14:anchorId="2DB36F9B" wp14:editId="308091AB">
            <wp:extent cx="2043122" cy="2265027"/>
            <wp:effectExtent l="0" t="0" r="1905" b="0"/>
            <wp:docPr id="1620552150" name="Picture 6"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52150" name="Picture 6" descr="A graph of a normal q-q plot&#10;&#10;Description automatically generated"/>
                    <pic:cNvPicPr/>
                  </pic:nvPicPr>
                  <pic:blipFill rotWithShape="1">
                    <a:blip r:embed="rId9" cstate="print">
                      <a:extLst>
                        <a:ext uri="{28A0092B-C50C-407E-A947-70E740481C1C}">
                          <a14:useLocalDpi xmlns:a14="http://schemas.microsoft.com/office/drawing/2010/main" val="0"/>
                        </a:ext>
                      </a:extLst>
                    </a:blip>
                    <a:srcRect l="1988"/>
                    <a:stretch/>
                  </pic:blipFill>
                  <pic:spPr bwMode="auto">
                    <a:xfrm>
                      <a:off x="0" y="0"/>
                      <a:ext cx="2092384" cy="2319640"/>
                    </a:xfrm>
                    <a:prstGeom prst="rect">
                      <a:avLst/>
                    </a:prstGeom>
                    <a:ln>
                      <a:noFill/>
                    </a:ln>
                    <a:extLst>
                      <a:ext uri="{53640926-AAD7-44D8-BBD7-CCE9431645EC}">
                        <a14:shadowObscured xmlns:a14="http://schemas.microsoft.com/office/drawing/2010/main"/>
                      </a:ext>
                    </a:extLst>
                  </pic:spPr>
                </pic:pic>
              </a:graphicData>
            </a:graphic>
          </wp:inline>
        </w:drawing>
      </w:r>
    </w:p>
    <w:p w14:paraId="77039482" w14:textId="0964C1E6" w:rsidR="00842656" w:rsidRPr="00AA099C" w:rsidRDefault="00463FDD" w:rsidP="00AA099C">
      <w:pPr>
        <w:spacing w:line="360" w:lineRule="auto"/>
        <w:rPr>
          <w:rFonts w:ascii="Times New Roman" w:hAnsi="Times New Roman" w:cs="Times New Roman"/>
          <w:sz w:val="22"/>
          <w:szCs w:val="22"/>
        </w:rPr>
      </w:pPr>
      <w:r w:rsidRPr="00AA099C">
        <w:rPr>
          <w:rFonts w:ascii="Times New Roman" w:hAnsi="Times New Roman" w:cs="Times New Roman"/>
          <w:sz w:val="22"/>
          <w:szCs w:val="22"/>
        </w:rPr>
        <w:t xml:space="preserve">Before conducting the t-test to compare playtime increases between the Control (Method A) and Treatment (Method B) groups, we checked several key assumptions given our sample size of fewer than 30 players per group. The Q-Q plots showed that the data points closely aligned with the theoretical line, suggesting that the playtime differences in each group approximately followed a normal distribution, </w:t>
      </w:r>
      <w:r w:rsidRPr="00AA099C">
        <w:rPr>
          <w:rFonts w:ascii="Times New Roman" w:hAnsi="Times New Roman" w:cs="Times New Roman"/>
          <w:sz w:val="22"/>
          <w:szCs w:val="22"/>
        </w:rPr>
        <w:lastRenderedPageBreak/>
        <w:t>which supports the validity of the t-test. Independence was ensured, as the data for each group was collected from different players without overlap, satisfying the assumption that observations within and between groups were independent. Additionally, due to the small sample size and potential for unequal variances between groups, we used Welch’s t-test.</w:t>
      </w:r>
    </w:p>
    <w:p w14:paraId="2EEEC957" w14:textId="77777777" w:rsidR="00842656" w:rsidRPr="00AA099C" w:rsidRDefault="00842656" w:rsidP="00AA099C">
      <w:pPr>
        <w:spacing w:line="360" w:lineRule="auto"/>
        <w:rPr>
          <w:rFonts w:ascii="Times New Roman" w:hAnsi="Times New Roman" w:cs="Times New Roman"/>
          <w:sz w:val="22"/>
          <w:szCs w:val="22"/>
        </w:rPr>
      </w:pPr>
      <w:r w:rsidRPr="00AA099C">
        <w:rPr>
          <w:rFonts w:ascii="Times New Roman" w:hAnsi="Times New Roman" w:cs="Times New Roman"/>
          <w:noProof/>
          <w:sz w:val="22"/>
          <w:szCs w:val="22"/>
        </w:rPr>
        <w:drawing>
          <wp:inline distT="0" distB="0" distL="0" distR="0" wp14:anchorId="63944C0E" wp14:editId="4B3690DF">
            <wp:extent cx="5943600" cy="1196975"/>
            <wp:effectExtent l="0" t="0" r="0" b="0"/>
            <wp:docPr id="111728425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84254"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196975"/>
                    </a:xfrm>
                    <a:prstGeom prst="rect">
                      <a:avLst/>
                    </a:prstGeom>
                  </pic:spPr>
                </pic:pic>
              </a:graphicData>
            </a:graphic>
          </wp:inline>
        </w:drawing>
      </w:r>
    </w:p>
    <w:p w14:paraId="46A47A25" w14:textId="2D57504E" w:rsidR="00842656" w:rsidRPr="00AA099C" w:rsidRDefault="00AA099C" w:rsidP="00AA099C">
      <w:pPr>
        <w:spacing w:line="360" w:lineRule="auto"/>
        <w:rPr>
          <w:rFonts w:ascii="Times New Roman" w:hAnsi="Times New Roman" w:cs="Times New Roman"/>
          <w:sz w:val="22"/>
          <w:szCs w:val="22"/>
        </w:rPr>
      </w:pPr>
      <w:r>
        <w:rPr>
          <w:rFonts w:ascii="Times New Roman" w:hAnsi="Times New Roman" w:cs="Times New Roman"/>
          <w:sz w:val="22"/>
          <w:szCs w:val="22"/>
        </w:rPr>
        <w:t>The figure above</w:t>
      </w:r>
      <w:r w:rsidR="00842656" w:rsidRPr="00AA099C">
        <w:rPr>
          <w:rFonts w:ascii="Times New Roman" w:hAnsi="Times New Roman" w:cs="Times New Roman"/>
          <w:sz w:val="22"/>
          <w:szCs w:val="22"/>
        </w:rPr>
        <w:t xml:space="preserve"> presents the results of the two-sample t-test. With a null hypothesis that there is no difference in the mean playtime increase between the Control group and the Treatment group, the test rejects the null hypothesis, indicating that Method B significantly increases playtime more than Method A. The 95% confidence interval suggests that the true difference in means is greater than zero, supporting the conclusion that Method B is likely more effective at enhancing player engagement. When paired with the observed differences in mean playtime increase, this result strongly supports adopting Method B to drive longer player sessions.</w:t>
      </w:r>
    </w:p>
    <w:sectPr w:rsidR="00842656" w:rsidRPr="00AA0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76A27"/>
    <w:multiLevelType w:val="multilevel"/>
    <w:tmpl w:val="698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04E2"/>
    <w:multiLevelType w:val="multilevel"/>
    <w:tmpl w:val="144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F7830"/>
    <w:multiLevelType w:val="multilevel"/>
    <w:tmpl w:val="27CC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D3499"/>
    <w:multiLevelType w:val="multilevel"/>
    <w:tmpl w:val="FE7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56DA8"/>
    <w:multiLevelType w:val="multilevel"/>
    <w:tmpl w:val="060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81A8D"/>
    <w:multiLevelType w:val="multilevel"/>
    <w:tmpl w:val="8306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CC5A5E"/>
    <w:multiLevelType w:val="multilevel"/>
    <w:tmpl w:val="0A34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A03CF"/>
    <w:multiLevelType w:val="multilevel"/>
    <w:tmpl w:val="B68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D43DB"/>
    <w:multiLevelType w:val="multilevel"/>
    <w:tmpl w:val="E92CD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91039">
    <w:abstractNumId w:val="8"/>
  </w:num>
  <w:num w:numId="2" w16cid:durableId="675810972">
    <w:abstractNumId w:val="2"/>
  </w:num>
  <w:num w:numId="3" w16cid:durableId="1797946252">
    <w:abstractNumId w:val="3"/>
  </w:num>
  <w:num w:numId="4" w16cid:durableId="352414305">
    <w:abstractNumId w:val="6"/>
  </w:num>
  <w:num w:numId="5" w16cid:durableId="136992929">
    <w:abstractNumId w:val="7"/>
  </w:num>
  <w:num w:numId="6" w16cid:durableId="1814445102">
    <w:abstractNumId w:val="1"/>
  </w:num>
  <w:num w:numId="7" w16cid:durableId="1647584739">
    <w:abstractNumId w:val="0"/>
  </w:num>
  <w:num w:numId="8" w16cid:durableId="357394961">
    <w:abstractNumId w:val="4"/>
  </w:num>
  <w:num w:numId="9" w16cid:durableId="892042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3A"/>
    <w:rsid w:val="00060949"/>
    <w:rsid w:val="00097A14"/>
    <w:rsid w:val="000A3D5F"/>
    <w:rsid w:val="000B2EAA"/>
    <w:rsid w:val="00114D3C"/>
    <w:rsid w:val="001A46B0"/>
    <w:rsid w:val="002B1739"/>
    <w:rsid w:val="002F219E"/>
    <w:rsid w:val="003F52E5"/>
    <w:rsid w:val="004539D5"/>
    <w:rsid w:val="00463FDD"/>
    <w:rsid w:val="00492438"/>
    <w:rsid w:val="004B531D"/>
    <w:rsid w:val="005144AC"/>
    <w:rsid w:val="00555FE6"/>
    <w:rsid w:val="00582D3B"/>
    <w:rsid w:val="00636743"/>
    <w:rsid w:val="00796FC7"/>
    <w:rsid w:val="007B7544"/>
    <w:rsid w:val="00842656"/>
    <w:rsid w:val="00853A0C"/>
    <w:rsid w:val="008B03D2"/>
    <w:rsid w:val="0094365E"/>
    <w:rsid w:val="009B4D62"/>
    <w:rsid w:val="00A830C6"/>
    <w:rsid w:val="00AA099C"/>
    <w:rsid w:val="00B53C98"/>
    <w:rsid w:val="00B7423A"/>
    <w:rsid w:val="00C84A0F"/>
    <w:rsid w:val="00F30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53E84"/>
  <w15:chartTrackingRefBased/>
  <w15:docId w15:val="{F910C941-C041-6344-918A-A113E218C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23A"/>
    <w:rPr>
      <w:rFonts w:eastAsiaTheme="majorEastAsia" w:cstheme="majorBidi"/>
      <w:color w:val="272727" w:themeColor="text1" w:themeTint="D8"/>
    </w:rPr>
  </w:style>
  <w:style w:type="paragraph" w:styleId="Title">
    <w:name w:val="Title"/>
    <w:basedOn w:val="Normal"/>
    <w:next w:val="Normal"/>
    <w:link w:val="TitleChar"/>
    <w:uiPriority w:val="10"/>
    <w:qFormat/>
    <w:rsid w:val="00B742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2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2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423A"/>
    <w:rPr>
      <w:i/>
      <w:iCs/>
      <w:color w:val="404040" w:themeColor="text1" w:themeTint="BF"/>
    </w:rPr>
  </w:style>
  <w:style w:type="paragraph" w:styleId="ListParagraph">
    <w:name w:val="List Paragraph"/>
    <w:basedOn w:val="Normal"/>
    <w:uiPriority w:val="34"/>
    <w:qFormat/>
    <w:rsid w:val="00B7423A"/>
    <w:pPr>
      <w:ind w:left="720"/>
      <w:contextualSpacing/>
    </w:pPr>
  </w:style>
  <w:style w:type="character" w:styleId="IntenseEmphasis">
    <w:name w:val="Intense Emphasis"/>
    <w:basedOn w:val="DefaultParagraphFont"/>
    <w:uiPriority w:val="21"/>
    <w:qFormat/>
    <w:rsid w:val="00B7423A"/>
    <w:rPr>
      <w:i/>
      <w:iCs/>
      <w:color w:val="0F4761" w:themeColor="accent1" w:themeShade="BF"/>
    </w:rPr>
  </w:style>
  <w:style w:type="paragraph" w:styleId="IntenseQuote">
    <w:name w:val="Intense Quote"/>
    <w:basedOn w:val="Normal"/>
    <w:next w:val="Normal"/>
    <w:link w:val="IntenseQuoteChar"/>
    <w:uiPriority w:val="30"/>
    <w:qFormat/>
    <w:rsid w:val="00B7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23A"/>
    <w:rPr>
      <w:i/>
      <w:iCs/>
      <w:color w:val="0F4761" w:themeColor="accent1" w:themeShade="BF"/>
    </w:rPr>
  </w:style>
  <w:style w:type="character" w:styleId="IntenseReference">
    <w:name w:val="Intense Reference"/>
    <w:basedOn w:val="DefaultParagraphFont"/>
    <w:uiPriority w:val="32"/>
    <w:qFormat/>
    <w:rsid w:val="00B7423A"/>
    <w:rPr>
      <w:b/>
      <w:bCs/>
      <w:smallCaps/>
      <w:color w:val="0F4761" w:themeColor="accent1" w:themeShade="BF"/>
      <w:spacing w:val="5"/>
    </w:rPr>
  </w:style>
  <w:style w:type="table" w:styleId="TableGrid">
    <w:name w:val="Table Grid"/>
    <w:basedOn w:val="TableNormal"/>
    <w:uiPriority w:val="39"/>
    <w:rsid w:val="00B74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B03D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8B03D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8B03D2"/>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60491">
      <w:bodyDiv w:val="1"/>
      <w:marLeft w:val="0"/>
      <w:marRight w:val="0"/>
      <w:marTop w:val="0"/>
      <w:marBottom w:val="0"/>
      <w:divBdr>
        <w:top w:val="none" w:sz="0" w:space="0" w:color="auto"/>
        <w:left w:val="none" w:sz="0" w:space="0" w:color="auto"/>
        <w:bottom w:val="none" w:sz="0" w:space="0" w:color="auto"/>
        <w:right w:val="none" w:sz="0" w:space="0" w:color="auto"/>
      </w:divBdr>
    </w:div>
    <w:div w:id="138814686">
      <w:bodyDiv w:val="1"/>
      <w:marLeft w:val="0"/>
      <w:marRight w:val="0"/>
      <w:marTop w:val="0"/>
      <w:marBottom w:val="0"/>
      <w:divBdr>
        <w:top w:val="none" w:sz="0" w:space="0" w:color="auto"/>
        <w:left w:val="none" w:sz="0" w:space="0" w:color="auto"/>
        <w:bottom w:val="none" w:sz="0" w:space="0" w:color="auto"/>
        <w:right w:val="none" w:sz="0" w:space="0" w:color="auto"/>
      </w:divBdr>
    </w:div>
    <w:div w:id="1086653089">
      <w:bodyDiv w:val="1"/>
      <w:marLeft w:val="0"/>
      <w:marRight w:val="0"/>
      <w:marTop w:val="0"/>
      <w:marBottom w:val="0"/>
      <w:divBdr>
        <w:top w:val="none" w:sz="0" w:space="0" w:color="auto"/>
        <w:left w:val="none" w:sz="0" w:space="0" w:color="auto"/>
        <w:bottom w:val="none" w:sz="0" w:space="0" w:color="auto"/>
        <w:right w:val="none" w:sz="0" w:space="0" w:color="auto"/>
      </w:divBdr>
    </w:div>
    <w:div w:id="1449350563">
      <w:bodyDiv w:val="1"/>
      <w:marLeft w:val="0"/>
      <w:marRight w:val="0"/>
      <w:marTop w:val="0"/>
      <w:marBottom w:val="0"/>
      <w:divBdr>
        <w:top w:val="none" w:sz="0" w:space="0" w:color="auto"/>
        <w:left w:val="none" w:sz="0" w:space="0" w:color="auto"/>
        <w:bottom w:val="none" w:sz="0" w:space="0" w:color="auto"/>
        <w:right w:val="none" w:sz="0" w:space="0" w:color="auto"/>
      </w:divBdr>
    </w:div>
    <w:div w:id="1452557289">
      <w:bodyDiv w:val="1"/>
      <w:marLeft w:val="0"/>
      <w:marRight w:val="0"/>
      <w:marTop w:val="0"/>
      <w:marBottom w:val="0"/>
      <w:divBdr>
        <w:top w:val="none" w:sz="0" w:space="0" w:color="auto"/>
        <w:left w:val="none" w:sz="0" w:space="0" w:color="auto"/>
        <w:bottom w:val="none" w:sz="0" w:space="0" w:color="auto"/>
        <w:right w:val="none" w:sz="0" w:space="0" w:color="auto"/>
      </w:divBdr>
    </w:div>
    <w:div w:id="1476099688">
      <w:bodyDiv w:val="1"/>
      <w:marLeft w:val="0"/>
      <w:marRight w:val="0"/>
      <w:marTop w:val="0"/>
      <w:marBottom w:val="0"/>
      <w:divBdr>
        <w:top w:val="none" w:sz="0" w:space="0" w:color="auto"/>
        <w:left w:val="none" w:sz="0" w:space="0" w:color="auto"/>
        <w:bottom w:val="none" w:sz="0" w:space="0" w:color="auto"/>
        <w:right w:val="none" w:sz="0" w:space="0" w:color="auto"/>
      </w:divBdr>
    </w:div>
    <w:div w:id="1775711527">
      <w:bodyDiv w:val="1"/>
      <w:marLeft w:val="0"/>
      <w:marRight w:val="0"/>
      <w:marTop w:val="0"/>
      <w:marBottom w:val="0"/>
      <w:divBdr>
        <w:top w:val="none" w:sz="0" w:space="0" w:color="auto"/>
        <w:left w:val="none" w:sz="0" w:space="0" w:color="auto"/>
        <w:bottom w:val="none" w:sz="0" w:space="0" w:color="auto"/>
        <w:right w:val="none" w:sz="0" w:space="0" w:color="auto"/>
      </w:divBdr>
    </w:div>
    <w:div w:id="194446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 Banik</dc:creator>
  <cp:keywords/>
  <dc:description/>
  <cp:lastModifiedBy>Arpa Banik</cp:lastModifiedBy>
  <cp:revision>2</cp:revision>
  <dcterms:created xsi:type="dcterms:W3CDTF">2024-10-27T20:19:00Z</dcterms:created>
  <dcterms:modified xsi:type="dcterms:W3CDTF">2024-10-27T20:19:00Z</dcterms:modified>
</cp:coreProperties>
</file>