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32"/>
          <w:szCs w:val="132"/>
        </w:rPr>
        <w:t xml:space="preserve"/>
      </w:r>
    </w:p>
    <w:p>
      <w:pPr>
        <w:spacing w:after="120" w:before="0"/>
        <w:jc w:val="center"/>
      </w:pPr>
      <w:r>
        <w:rPr>
          <w:rFonts w:ascii="Arial" w:cs="Arial" w:eastAsia="Arial" w:hAnsi="Arial"/>
          <w:b/>
          <w:bCs/>
          <w:color w:val="1F4E79"/>
          <w:sz w:val="72"/>
          <w:szCs w:val="72"/>
        </w:rPr>
        <w:t xml:space="preserve">ResearchIQ</w:t>
      </w:r>
    </w:p>
    <w:p>
      <w:pPr>
        <w:spacing w:after="80" w:before="0"/>
        <w:jc w:val="center"/>
      </w:pPr>
      <w:r>
        <w:rPr>
          <w:rFonts w:ascii="Arial" w:cs="Arial" w:eastAsia="Arial" w:hAnsi="Arial"/>
          <w:color w:val="2E75B6"/>
          <w:sz w:val="36"/>
          <w:szCs w:val="36"/>
        </w:rPr>
        <w:t xml:space="preserve">AI Research &amp; Competitive Intelligence Agent</w:t>
      </w:r>
    </w:p>
    <w:p>
      <w:pPr>
        <w:pBdr>
          <w:bottom w:val="single" w:color="2E75B6" w:sz="6" w:space="4"/>
        </w:pBdr>
        <w:spacing w:after="200" w:before="0"/>
        <w:jc w:val="center"/>
      </w:pPr>
      <w:r>
        <w:rPr>
          <w:sz w:val="22"/>
          <w:szCs w:val="22"/>
        </w:rPr>
        <w:t xml:space="preserve"> </w:t>
      </w:r>
    </w:p>
    <w:p>
      <w:pPr>
        <w:spacing w:after="60" w:before="0"/>
        <w:jc w:val="center"/>
      </w:pPr>
      <w:r>
        <w:rPr>
          <w:rFonts w:ascii="Arial" w:cs="Arial" w:eastAsia="Arial" w:hAnsi="Arial"/>
          <w:b/>
          <w:bCs/>
          <w:color w:val="1A1A2E"/>
          <w:sz w:val="32"/>
          <w:szCs w:val="32"/>
        </w:rPr>
        <w:t xml:space="preserve">System &amp; Solution Design Document</w:t>
      </w:r>
    </w:p>
    <w:p>
      <w:pPr>
        <w:spacing w:after="400" w:before="0"/>
        <w:jc w:val="center"/>
      </w:pPr>
      <w:r>
        <w:rPr>
          <w:rFonts w:ascii="Arial" w:cs="Arial" w:eastAsia="Arial" w:hAnsi="Arial"/>
          <w:color w:val="595959"/>
          <w:sz w:val="24"/>
          <w:szCs w:val="24"/>
        </w:rPr>
        <w:t xml:space="preserve">AI Engineering Cohort — Capstone Submission</w:t>
      </w:r>
    </w:p>
    <w:p>
      <w:pPr>
        <w:spacing w:after="0" w:before="0"/>
      </w:pPr>
      <w:r>
        <w:rPr>
          <w:sz w:val="44"/>
          <w:szCs w:val="44"/>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tblGrid>
      <w:tr>
        <w:tc>
          <w:tcPr>
            <w:tcW w:type="dxa" w:w="2160"/>
            <w:tcBorders>
              <w:top w:val="none" w:color="FFFFFF" w:sz="0"/>
              <w:left w:val="none" w:color="FFFFFF" w:sz="0"/>
              <w:bottom w:val="none" w:color="FFFFFF" w:sz="0"/>
              <w:right w:val="none" w:color="FFFFFF" w:sz="0"/>
            </w:tcBorders>
            <w:shd w:fill="D6E4F0" w:val="clear"/>
            <w:tcMar>
              <w:top w:type="dxa" w:w="60"/>
              <w:left w:type="dxa" w:w="120"/>
              <w:bottom w:type="dxa" w:w="60"/>
              <w:right w:type="dxa" w:w="60"/>
            </w:tcMar>
          </w:tcPr>
          <w:p>
            <w:r>
              <w:rPr>
                <w:rFonts w:ascii="Arial" w:cs="Arial" w:eastAsia="Arial" w:hAnsi="Arial"/>
                <w:b/>
                <w:bCs/>
                <w:color w:val="1F4E79"/>
                <w:sz w:val="20"/>
                <w:szCs w:val="20"/>
              </w:rPr>
              <w:t xml:space="preserve">Author</w:t>
            </w:r>
          </w:p>
        </w:tc>
        <w:tc>
          <w:tcPr>
            <w:tcW w:type="dxa" w:w="5040"/>
            <w:tcBorders>
              <w:top w:val="none" w:color="FFFFFF" w:sz="0"/>
              <w:left w:val="none" w:color="FFFFFF" w:sz="0"/>
              <w:bottom w:val="none" w:color="FFFFFF" w:sz="0"/>
              <w:right w:val="none" w:color="FFFFFF" w:sz="0"/>
            </w:tcBorders>
            <w:shd w:fill="D6E4F0" w:val="clear"/>
            <w:tcMar>
              <w:top w:type="dxa" w:w="60"/>
              <w:left w:type="dxa" w:w="60"/>
              <w:bottom w:type="dxa" w:w="60"/>
              <w:right w:type="dxa" w:w="120"/>
            </w:tcMar>
          </w:tcPr>
          <w:p>
            <w:r>
              <w:rPr>
                <w:rFonts w:ascii="Arial" w:cs="Arial" w:eastAsia="Arial" w:hAnsi="Arial"/>
                <w:color w:val="595959"/>
                <w:sz w:val="20"/>
                <w:szCs w:val="20"/>
              </w:rPr>
              <w:t xml:space="preserve">Arijit Banik</w:t>
            </w:r>
          </w:p>
        </w:tc>
      </w:tr>
      <w:tr>
        <w:tc>
          <w:tcPr>
            <w:tcW w:type="dxa" w:w="2160"/>
            <w:tcBorders>
              <w:top w:val="none" w:color="FFFFFF" w:sz="0"/>
              <w:left w:val="none" w:color="FFFFFF" w:sz="0"/>
              <w:bottom w:val="none" w:color="FFFFFF" w:sz="0"/>
              <w:right w:val="none" w:color="FFFFFF" w:sz="0"/>
            </w:tcBorders>
            <w:shd w:fill="D6E4F0" w:val="clear"/>
            <w:tcMar>
              <w:top w:type="dxa" w:w="60"/>
              <w:left w:type="dxa" w:w="120"/>
              <w:bottom w:type="dxa" w:w="60"/>
              <w:right w:type="dxa" w:w="60"/>
            </w:tcMar>
          </w:tcPr>
          <w:p>
            <w:r>
              <w:rPr>
                <w:rFonts w:ascii="Arial" w:cs="Arial" w:eastAsia="Arial" w:hAnsi="Arial"/>
                <w:b/>
                <w:bCs/>
                <w:color w:val="1F4E79"/>
                <w:sz w:val="20"/>
                <w:szCs w:val="20"/>
              </w:rPr>
              <w:t xml:space="preserve">Date</w:t>
            </w:r>
          </w:p>
        </w:tc>
        <w:tc>
          <w:tcPr>
            <w:tcW w:type="dxa" w:w="5040"/>
            <w:tcBorders>
              <w:top w:val="none" w:color="FFFFFF" w:sz="0"/>
              <w:left w:val="none" w:color="FFFFFF" w:sz="0"/>
              <w:bottom w:val="none" w:color="FFFFFF" w:sz="0"/>
              <w:right w:val="none" w:color="FFFFFF" w:sz="0"/>
            </w:tcBorders>
            <w:shd w:fill="D6E4F0" w:val="clear"/>
            <w:tcMar>
              <w:top w:type="dxa" w:w="60"/>
              <w:left w:type="dxa" w:w="60"/>
              <w:bottom w:type="dxa" w:w="60"/>
              <w:right w:type="dxa" w:w="120"/>
            </w:tcMar>
          </w:tcPr>
          <w:p>
            <w:r>
              <w:rPr>
                <w:rFonts w:ascii="Arial" w:cs="Arial" w:eastAsia="Arial" w:hAnsi="Arial"/>
                <w:color w:val="595959"/>
                <w:sz w:val="20"/>
                <w:szCs w:val="20"/>
              </w:rPr>
              <w:t xml:space="preserve">June 2026</w:t>
            </w:r>
          </w:p>
        </w:tc>
      </w:tr>
      <w:tr>
        <w:tc>
          <w:tcPr>
            <w:tcW w:type="dxa" w:w="2160"/>
            <w:tcBorders>
              <w:top w:val="none" w:color="FFFFFF" w:sz="0"/>
              <w:left w:val="none" w:color="FFFFFF" w:sz="0"/>
              <w:bottom w:val="none" w:color="FFFFFF" w:sz="0"/>
              <w:right w:val="none" w:color="FFFFFF" w:sz="0"/>
            </w:tcBorders>
            <w:shd w:fill="D6E4F0" w:val="clear"/>
            <w:tcMar>
              <w:top w:type="dxa" w:w="60"/>
              <w:left w:type="dxa" w:w="120"/>
              <w:bottom w:type="dxa" w:w="60"/>
              <w:right w:type="dxa" w:w="60"/>
            </w:tcMar>
          </w:tcPr>
          <w:p>
            <w:r>
              <w:rPr>
                <w:rFonts w:ascii="Arial" w:cs="Arial" w:eastAsia="Arial" w:hAnsi="Arial"/>
                <w:b/>
                <w:bCs/>
                <w:color w:val="1F4E79"/>
                <w:sz w:val="20"/>
                <w:szCs w:val="20"/>
              </w:rPr>
              <w:t xml:space="preserve">Version</w:t>
            </w:r>
          </w:p>
        </w:tc>
        <w:tc>
          <w:tcPr>
            <w:tcW w:type="dxa" w:w="5040"/>
            <w:tcBorders>
              <w:top w:val="none" w:color="FFFFFF" w:sz="0"/>
              <w:left w:val="none" w:color="FFFFFF" w:sz="0"/>
              <w:bottom w:val="none" w:color="FFFFFF" w:sz="0"/>
              <w:right w:val="none" w:color="FFFFFF" w:sz="0"/>
            </w:tcBorders>
            <w:shd w:fill="D6E4F0" w:val="clear"/>
            <w:tcMar>
              <w:top w:type="dxa" w:w="60"/>
              <w:left w:type="dxa" w:w="60"/>
              <w:bottom w:type="dxa" w:w="60"/>
              <w:right w:type="dxa" w:w="120"/>
            </w:tcMar>
          </w:tcPr>
          <w:p>
            <w:r>
              <w:rPr>
                <w:rFonts w:ascii="Arial" w:cs="Arial" w:eastAsia="Arial" w:hAnsi="Arial"/>
                <w:color w:val="595959"/>
                <w:sz w:val="20"/>
                <w:szCs w:val="20"/>
              </w:rPr>
              <w:t xml:space="preserve">1.0 — Initial Submission</w:t>
            </w:r>
          </w:p>
        </w:tc>
      </w:tr>
      <w:tr>
        <w:tc>
          <w:tcPr>
            <w:tcW w:type="dxa" w:w="2160"/>
            <w:tcBorders>
              <w:top w:val="none" w:color="FFFFFF" w:sz="0"/>
              <w:left w:val="none" w:color="FFFFFF" w:sz="0"/>
              <w:bottom w:val="none" w:color="FFFFFF" w:sz="0"/>
              <w:right w:val="none" w:color="FFFFFF" w:sz="0"/>
            </w:tcBorders>
            <w:shd w:fill="D6E4F0" w:val="clear"/>
            <w:tcMar>
              <w:top w:type="dxa" w:w="60"/>
              <w:left w:type="dxa" w:w="120"/>
              <w:bottom w:type="dxa" w:w="60"/>
              <w:right w:type="dxa" w:w="60"/>
            </w:tcMar>
          </w:tcPr>
          <w:p>
            <w:r>
              <w:rPr>
                <w:rFonts w:ascii="Arial" w:cs="Arial" w:eastAsia="Arial" w:hAnsi="Arial"/>
                <w:b/>
                <w:bCs/>
                <w:color w:val="1F4E79"/>
                <w:sz w:val="20"/>
                <w:szCs w:val="20"/>
              </w:rPr>
              <w:t xml:space="preserve">Status</w:t>
            </w:r>
          </w:p>
        </w:tc>
        <w:tc>
          <w:tcPr>
            <w:tcW w:type="dxa" w:w="5040"/>
            <w:tcBorders>
              <w:top w:val="none" w:color="FFFFFF" w:sz="0"/>
              <w:left w:val="none" w:color="FFFFFF" w:sz="0"/>
              <w:bottom w:val="none" w:color="FFFFFF" w:sz="0"/>
              <w:right w:val="none" w:color="FFFFFF" w:sz="0"/>
            </w:tcBorders>
            <w:shd w:fill="D6E4F0" w:val="clear"/>
            <w:tcMar>
              <w:top w:type="dxa" w:w="60"/>
              <w:left w:type="dxa" w:w="60"/>
              <w:bottom w:type="dxa" w:w="60"/>
              <w:right w:type="dxa" w:w="120"/>
            </w:tcMar>
          </w:tcPr>
          <w:p>
            <w:r>
              <w:rPr>
                <w:rFonts w:ascii="Arial" w:cs="Arial" w:eastAsia="Arial" w:hAnsi="Arial"/>
                <w:color w:val="595959"/>
                <w:sz w:val="20"/>
                <w:szCs w:val="20"/>
              </w:rPr>
              <w:t xml:space="preserve">Submitted for Lead Review</w:t>
            </w:r>
          </w:p>
        </w:tc>
      </w:tr>
    </w:tbl>
    <w:p>
      <w:pPr>
        <w:spacing w:after="0" w:before="0"/>
      </w:pPr>
      <w:r>
        <w:rPr>
          <w:sz w:val="88"/>
          <w:szCs w:val="88"/>
        </w:rPr>
        <w:t xml:space="preserve"/>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60" w:before="40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1. Problem Definition</w:t>
      </w:r>
    </w:p>
    <w:p>
      <w:pPr>
        <w:pStyle w:val="Heading2"/>
        <w:spacing w:after="120" w:before="280"/>
      </w:pPr>
      <w:r>
        <w:rPr>
          <w:rFonts w:ascii="Arial" w:cs="Arial" w:eastAsia="Arial" w:hAnsi="Arial"/>
          <w:b/>
          <w:bCs/>
          <w:color w:val="2E75B6"/>
          <w:sz w:val="28"/>
          <w:szCs w:val="28"/>
        </w:rPr>
        <w:t xml:space="preserve">1.1 Background &amp; Motivation</w:t>
      </w:r>
    </w:p>
    <w:p>
      <w:pPr>
        <w:spacing w:after="60" w:before="60"/>
      </w:pPr>
      <w:r>
        <w:rPr>
          <w:rFonts w:ascii="Arial" w:cs="Arial" w:eastAsia="Arial" w:hAnsi="Arial"/>
          <w:color w:val="595959"/>
          <w:sz w:val="22"/>
          <w:szCs w:val="22"/>
        </w:rPr>
        <w:t xml:space="preserve">Knowledge workers — researchers, product managers, engineers, and strategists — routinely spend 4-8 hours manually gathering, reading, and synthesising information from disparate sources before they can generate a research report or competitive analysis. This process is error-prone, inconsistently structured, and impossible to scale.</w:t>
      </w:r>
    </w:p>
    <w:p>
      <w:pPr>
        <w:spacing w:after="60" w:before="60"/>
      </w:pPr>
      <w:r>
        <w:rPr>
          <w:rFonts w:ascii="Arial" w:cs="Arial" w:eastAsia="Arial" w:hAnsi="Arial"/>
          <w:color w:val="595959"/>
          <w:sz w:val="22"/>
          <w:szCs w:val="22"/>
        </w:rPr>
        <w:t xml:space="preserve">Large language models and tool-enabled agents now make it possible to automate this end-to-end workflow: decomposing a research query, dispatching parallel retrieval agents across live web data and a curated knowledge base, and synthesising findings into a structured, citable report.</w:t>
      </w:r>
    </w:p>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1.2 Problem Scoping</w:t>
      </w:r>
    </w:p>
    <w:p>
      <w:pPr>
        <w:spacing w:after="60" w:before="60"/>
      </w:pPr>
      <w:r>
        <w:rPr>
          <w:rFonts w:ascii="Arial" w:cs="Arial" w:eastAsia="Arial" w:hAnsi="Arial"/>
          <w:color w:val="595959"/>
          <w:sz w:val="22"/>
          <w:szCs w:val="22"/>
        </w:rPr>
        <w:t xml:space="preserve">ResearchIQ addresses a tightly scoped, well-defined problem:</w:t>
      </w:r>
    </w:p>
    <w:p>
      <w:pPr>
        <w:pStyle w:val="ListParagraph"/>
        <w:numPr>
          <w:ilvl w:val="0"/>
          <w:numId w:val="2"/>
        </w:numPr>
        <w:spacing w:after="40" w:before="40"/>
      </w:pPr>
      <w:r>
        <w:rPr>
          <w:rFonts w:ascii="Arial" w:cs="Arial" w:eastAsia="Arial" w:hAnsi="Arial"/>
          <w:b/>
          <w:bCs/>
          <w:color w:val="1A1A2E"/>
          <w:sz w:val="22"/>
          <w:szCs w:val="22"/>
        </w:rPr>
        <w:t xml:space="preserve">Input: </w:t>
      </w:r>
      <w:r>
        <w:rPr>
          <w:rFonts w:ascii="Arial" w:cs="Arial" w:eastAsia="Arial" w:hAnsi="Arial"/>
          <w:color w:val="595959"/>
          <w:sz w:val="22"/>
          <w:szCs w:val="22"/>
        </w:rPr>
        <w:t xml:space="preserve">A natural-language research query or topic (e.g., 'What are the latest advances in agentic RAG?', 'Competitive landscape for AI coding assistants in 2025').</w:t>
      </w:r>
    </w:p>
    <w:p>
      <w:pPr>
        <w:pStyle w:val="ListParagraph"/>
        <w:numPr>
          <w:ilvl w:val="0"/>
          <w:numId w:val="2"/>
        </w:numPr>
        <w:spacing w:after="40" w:before="40"/>
      </w:pPr>
      <w:r>
        <w:rPr>
          <w:rFonts w:ascii="Arial" w:cs="Arial" w:eastAsia="Arial" w:hAnsi="Arial"/>
          <w:b/>
          <w:bCs/>
          <w:color w:val="1A1A2E"/>
          <w:sz w:val="22"/>
          <w:szCs w:val="22"/>
        </w:rPr>
        <w:t xml:space="preserve">Output: </w:t>
      </w:r>
      <w:r>
        <w:rPr>
          <w:rFonts w:ascii="Arial" w:cs="Arial" w:eastAsia="Arial" w:hAnsi="Arial"/>
          <w:color w:val="595959"/>
          <w:sz w:val="22"/>
          <w:szCs w:val="22"/>
        </w:rPr>
        <w:t xml:space="preserve">A structured Markdown intelligence report containing: an executive summary, key findings grouped by sub-topic, source citations, and a confidence assessment.</w:t>
      </w:r>
    </w:p>
    <w:p>
      <w:pPr>
        <w:pStyle w:val="ListParagraph"/>
        <w:numPr>
          <w:ilvl w:val="0"/>
          <w:numId w:val="2"/>
        </w:numPr>
        <w:spacing w:after="40" w:before="40"/>
      </w:pPr>
      <w:r>
        <w:rPr>
          <w:rFonts w:ascii="Arial" w:cs="Arial" w:eastAsia="Arial" w:hAnsi="Arial"/>
          <w:b/>
          <w:bCs/>
          <w:color w:val="1A1A2E"/>
          <w:sz w:val="22"/>
          <w:szCs w:val="22"/>
        </w:rPr>
        <w:t xml:space="preserve">Scope boundaries: </w:t>
      </w:r>
      <w:r>
        <w:rPr>
          <w:rFonts w:ascii="Arial" w:cs="Arial" w:eastAsia="Arial" w:hAnsi="Arial"/>
          <w:color w:val="595959"/>
          <w:sz w:val="22"/>
          <w:szCs w:val="22"/>
        </w:rPr>
        <w:t xml:space="preserve">The system retrieves and synthesises publicly available web content and user-supplied documents. It does not perform primary research, make recommendations involving regulated domains (medical, legal, financial), or generate novel analysis beyond what the retrieved sources support.</w:t>
      </w:r>
    </w:p>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1.3 Problem Clarity</w:t>
      </w:r>
    </w:p>
    <w:p>
      <w:pPr>
        <w:spacing w:after="60" w:before="60"/>
      </w:pPr>
      <w:r>
        <w:rPr>
          <w:rFonts w:ascii="Arial" w:cs="Arial" w:eastAsia="Arial" w:hAnsi="Arial"/>
          <w:color w:val="595959"/>
          <w:sz w:val="22"/>
          <w:szCs w:val="22"/>
        </w:rPr>
        <w:t xml:space="preserve">The problem is well-suited to an agentic AI system because it decomposes naturally into sub-tasks (query decomposition → retrieval → synthesis → formatting), each of which can be handled by a specialist agent with domain-specific tools. The success criterion is unambiguous: a high-quality, factual, well-cited report generated in under 60 seconds for a typical 4-subtask query.</w:t>
      </w:r>
    </w:p>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1.4 Target Users &amp;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Segment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AI/ML Engineers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Summarise recent papers on LLM evaluation frameworks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Product Managers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Competitive landscape for AI coding assistants in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Strategy / BD Teams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Market sizing and key players in enterprise AI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Researchers / Academics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What are the latest advances in agentic RAG?</w:t>
            </w:r>
          </w:p>
        </w:tc>
      </w:tr>
    </w:tbl>
    <w:p>
      <w:pPr>
        <w:spacing w:after="0" w:before="0"/>
      </w:pPr>
      <w:r>
        <w:rPr>
          <w:sz w:val="22"/>
          <w:szCs w:val="22"/>
        </w:rP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2. Data Processing</w:t>
      </w:r>
    </w:p>
    <w:p>
      <w:pPr>
        <w:pStyle w:val="Heading2"/>
        <w:spacing w:after="120" w:before="280"/>
      </w:pPr>
      <w:r>
        <w:rPr>
          <w:rFonts w:ascii="Arial" w:cs="Arial" w:eastAsia="Arial" w:hAnsi="Arial"/>
          <w:b/>
          <w:bCs/>
          <w:color w:val="2E75B6"/>
          <w:sz w:val="28"/>
          <w:szCs w:val="28"/>
        </w:rPr>
        <w:t xml:space="preserve">2.1 Data Sources</w:t>
      </w:r>
    </w:p>
    <w:p>
      <w:pPr>
        <w:spacing w:after="60" w:before="60"/>
      </w:pPr>
      <w:r>
        <w:rPr>
          <w:rFonts w:ascii="Arial" w:cs="Arial" w:eastAsia="Arial" w:hAnsi="Arial"/>
          <w:color w:val="595959"/>
          <w:sz w:val="22"/>
          <w:szCs w:val="22"/>
        </w:rPr>
        <w:t xml:space="preserve">ResearchIQ ingests and processes data from two categories of sources:</w:t>
      </w:r>
    </w:p>
    <w:p>
      <w:pPr>
        <w:pStyle w:val="Heading3"/>
        <w:spacing w:after="80" w:before="200"/>
      </w:pPr>
      <w:r>
        <w:rPr>
          <w:rFonts w:ascii="Arial" w:cs="Arial" w:eastAsia="Arial" w:hAnsi="Arial"/>
          <w:b/>
          <w:bCs/>
          <w:color w:val="1A1A2E"/>
          <w:sz w:val="24"/>
          <w:szCs w:val="24"/>
        </w:rPr>
        <w:t xml:space="preserve">2.1.1 Live Web Sources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 &amp; Access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Tavily Search 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Primary web search — returns structured results with titles, URLs, snippets, and full-page content via the custom Tavily MCP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ArXiv 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Academic paper search — returns paper metadata, abstracts, and PDF links for scientific/ML topics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Wikipedia 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Background knowledge and definitional context for entities and concepts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Web Scraper Tool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Full-page content extraction for URLs returned by search; strips navigation, ads, and boilerplate using readability heuristics</w:t>
            </w:r>
          </w:p>
        </w:tc>
      </w:tr>
    </w:tbl>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2.1.2 Knowledge Base (Curated, Persistent)</w:t>
      </w:r>
    </w:p>
    <w:p>
      <w:pPr>
        <w:spacing w:after="60" w:before="60"/>
      </w:pPr>
      <w:r>
        <w:rPr>
          <w:rFonts w:ascii="Arial" w:cs="Arial" w:eastAsia="Arial" w:hAnsi="Arial"/>
          <w:color w:val="595959"/>
          <w:sz w:val="22"/>
          <w:szCs w:val="22"/>
        </w:rPr>
        <w:t xml:space="preserve">Users can pre-populate a Qdrant vector store with domain-specific documents (PDFs, URLs, plain text) via the POST /ingest endpoint. These are processed through the following pipeline:</w:t>
      </w:r>
    </w:p>
    <w:p>
      <w:pPr>
        <w:pStyle w:val="ListParagraph"/>
        <w:numPr>
          <w:ilvl w:val="0"/>
          <w:numId w:val="2"/>
        </w:numPr>
        <w:spacing w:after="40" w:before="40"/>
      </w:pPr>
      <w:r>
        <w:rPr>
          <w:rFonts w:ascii="Arial" w:cs="Arial" w:eastAsia="Arial" w:hAnsi="Arial"/>
          <w:color w:val="595959"/>
          <w:sz w:val="22"/>
          <w:szCs w:val="22"/>
        </w:rPr>
        <w:t xml:space="preserve">Document loading: LangChain loaders for PDF (PyMuPDF), URL (BeautifulSoup), and plain text</w:t>
      </w:r>
    </w:p>
    <w:p>
      <w:pPr>
        <w:pStyle w:val="ListParagraph"/>
        <w:numPr>
          <w:ilvl w:val="0"/>
          <w:numId w:val="2"/>
        </w:numPr>
        <w:spacing w:after="40" w:before="40"/>
      </w:pPr>
      <w:r>
        <w:rPr>
          <w:rFonts w:ascii="Arial" w:cs="Arial" w:eastAsia="Arial" w:hAnsi="Arial"/>
          <w:color w:val="595959"/>
          <w:sz w:val="22"/>
          <w:szCs w:val="22"/>
        </w:rPr>
        <w:t xml:space="preserve">Semantic chunking: SemanticChunker from langchain_experimental — splits on embedding-based sentence boundaries rather than fixed token counts, preserving semantic coherence</w:t>
      </w:r>
    </w:p>
    <w:p>
      <w:pPr>
        <w:pStyle w:val="ListParagraph"/>
        <w:numPr>
          <w:ilvl w:val="0"/>
          <w:numId w:val="2"/>
        </w:numPr>
        <w:spacing w:after="40" w:before="40"/>
      </w:pPr>
      <w:r>
        <w:rPr>
          <w:rFonts w:ascii="Arial" w:cs="Arial" w:eastAsia="Arial" w:hAnsi="Arial"/>
          <w:color w:val="595959"/>
          <w:sz w:val="22"/>
          <w:szCs w:val="22"/>
        </w:rPr>
        <w:t xml:space="preserve">Dual indexing: each chunk is embedded (OpenAI text-embedding-3-small) and stored in Qdrant for dense retrieval, and simultaneously indexed in a BM25 in-memory index (persisted as JSON) for sparse keyword retrieval</w:t>
      </w:r>
    </w:p>
    <w:p>
      <w:pPr>
        <w:pStyle w:val="ListParagraph"/>
        <w:numPr>
          <w:ilvl w:val="0"/>
          <w:numId w:val="2"/>
        </w:numPr>
        <w:spacing w:after="40" w:before="40"/>
      </w:pPr>
      <w:r>
        <w:rPr>
          <w:rFonts w:ascii="Arial" w:cs="Arial" w:eastAsia="Arial" w:hAnsi="Arial"/>
          <w:color w:val="595959"/>
          <w:sz w:val="22"/>
          <w:szCs w:val="22"/>
        </w:rPr>
        <w:t xml:space="preserve">Metadata stored per chunk: source URL/filename, page number, ingestion timestamp, chunk index</w:t>
      </w:r>
    </w:p>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2.2 Handling PII (Personally Identifiable Information)</w:t>
      </w:r>
    </w:p>
    <w:p>
      <w:pPr>
        <w:spacing w:after="60" w:before="60"/>
      </w:pPr>
      <w:r>
        <w:rPr>
          <w:rFonts w:ascii="Arial" w:cs="Arial" w:eastAsia="Arial" w:hAnsi="Arial"/>
          <w:color w:val="595959"/>
          <w:sz w:val="22"/>
          <w:szCs w:val="22"/>
        </w:rPr>
        <w:t xml:space="preserve">ResearchIQ is designed as a research intelligence tool operating on publicly available information. The following controls govern PII handling:</w:t>
      </w:r>
    </w:p>
    <w:p>
      <w:pPr>
        <w:pStyle w:val="Heading3"/>
        <w:spacing w:after="80" w:before="200"/>
      </w:pPr>
      <w:r>
        <w:rPr>
          <w:rFonts w:ascii="Arial" w:cs="Arial" w:eastAsia="Arial" w:hAnsi="Arial"/>
          <w:b/>
          <w:bCs/>
          <w:color w:val="1A1A2E"/>
          <w:sz w:val="24"/>
          <w:szCs w:val="24"/>
        </w:rPr>
        <w:t xml:space="preserve">2.2.1 PII Minimisation by Design</w:t>
      </w:r>
    </w:p>
    <w:p>
      <w:pPr>
        <w:pStyle w:val="ListParagraph"/>
        <w:numPr>
          <w:ilvl w:val="0"/>
          <w:numId w:val="2"/>
        </w:numPr>
        <w:spacing w:after="40" w:before="40"/>
      </w:pPr>
      <w:r>
        <w:rPr>
          <w:rFonts w:ascii="Arial" w:cs="Arial" w:eastAsia="Arial" w:hAnsi="Arial"/>
          <w:color w:val="595959"/>
          <w:sz w:val="22"/>
          <w:szCs w:val="22"/>
        </w:rPr>
        <w:t xml:space="preserve">The system does not ingest, request, or store user account credentials, contact information, or personal profile data.</w:t>
      </w:r>
    </w:p>
    <w:p>
      <w:pPr>
        <w:pStyle w:val="ListParagraph"/>
        <w:numPr>
          <w:ilvl w:val="0"/>
          <w:numId w:val="2"/>
        </w:numPr>
        <w:spacing w:after="40" w:before="40"/>
      </w:pPr>
      <w:r>
        <w:rPr>
          <w:rFonts w:ascii="Arial" w:cs="Arial" w:eastAsia="Arial" w:hAnsi="Arial"/>
          <w:color w:val="595959"/>
          <w:sz w:val="22"/>
          <w:szCs w:val="22"/>
        </w:rPr>
        <w:t xml:space="preserve">Web search queries and research topics are ephemeral — they are passed to the LangGraph state object in memory and are not persisted to any database beyond the current session.</w:t>
      </w:r>
    </w:p>
    <w:p>
      <w:pPr>
        <w:pStyle w:val="ListParagraph"/>
        <w:numPr>
          <w:ilvl w:val="0"/>
          <w:numId w:val="2"/>
        </w:numPr>
        <w:spacing w:after="40" w:before="40"/>
      </w:pPr>
      <w:r>
        <w:rPr>
          <w:rFonts w:ascii="Arial" w:cs="Arial" w:eastAsia="Arial" w:hAnsi="Arial"/>
          <w:color w:val="595959"/>
          <w:sz w:val="22"/>
          <w:szCs w:val="22"/>
        </w:rPr>
        <w:t xml:space="preserve">Notion page output (via MCP) is written to the user's own Notion workspace under their own API token; ResearchIQ does not retain a copy.</w:t>
      </w:r>
    </w:p>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2.2.2 PII in Scraped / Ingested Content</w:t>
      </w:r>
    </w:p>
    <w:p>
      <w:pPr>
        <w:spacing w:after="60" w:before="60"/>
      </w:pPr>
      <w:r>
        <w:rPr>
          <w:rFonts w:ascii="Arial" w:cs="Arial" w:eastAsia="Arial" w:hAnsi="Arial"/>
          <w:color w:val="595959"/>
          <w:sz w:val="22"/>
          <w:szCs w:val="22"/>
        </w:rPr>
        <w:t xml:space="preserve">When users ingest documents or the system scrapes web pages, PII may incidentally appear in source content (e.g., author names on papers, contact sections of websites). The following controls are applied:</w:t>
      </w:r>
    </w:p>
    <w:p>
      <w:pPr>
        <w:pStyle w:val="ListParagraph"/>
        <w:numPr>
          <w:ilvl w:val="0"/>
          <w:numId w:val="2"/>
        </w:numPr>
        <w:spacing w:after="40" w:before="40"/>
      </w:pPr>
      <w:r>
        <w:rPr>
          <w:rFonts w:ascii="Arial" w:cs="Arial" w:eastAsia="Arial" w:hAnsi="Arial"/>
          <w:color w:val="595959"/>
          <w:sz w:val="22"/>
          <w:szCs w:val="22"/>
        </w:rPr>
        <w:t xml:space="preserve">Scraper post-processing strips structured PII patterns (email addresses, phone numbers, SSN patterns) from extracted text before indexing, using a regex-based sanitisation step in scraper_tools.py.</w:t>
      </w:r>
    </w:p>
    <w:p>
      <w:pPr>
        <w:pStyle w:val="ListParagraph"/>
        <w:numPr>
          <w:ilvl w:val="0"/>
          <w:numId w:val="2"/>
        </w:numPr>
        <w:spacing w:after="40" w:before="40"/>
      </w:pPr>
      <w:r>
        <w:rPr>
          <w:rFonts w:ascii="Arial" w:cs="Arial" w:eastAsia="Arial" w:hAnsi="Arial"/>
          <w:color w:val="595959"/>
          <w:sz w:val="22"/>
          <w:szCs w:val="22"/>
        </w:rPr>
        <w:t xml:space="preserve">The system logs source URLs but does not log the full extracted content to disk. Logs are structured JSON and do not include chunk-level text.</w:t>
      </w:r>
    </w:p>
    <w:p>
      <w:pPr>
        <w:pStyle w:val="ListParagraph"/>
        <w:numPr>
          <w:ilvl w:val="0"/>
          <w:numId w:val="2"/>
        </w:numPr>
        <w:spacing w:after="40" w:before="40"/>
      </w:pPr>
      <w:r>
        <w:rPr>
          <w:rFonts w:ascii="Arial" w:cs="Arial" w:eastAsia="Arial" w:hAnsi="Arial"/>
          <w:color w:val="595959"/>
          <w:sz w:val="22"/>
          <w:szCs w:val="22"/>
        </w:rPr>
        <w:t xml:space="preserve">The knowledge base is intended for professional/technical documents. Users are responsible for ensuring that documents they ingest do not contain sensitive personal data.</w:t>
      </w:r>
    </w:p>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2.2.3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Retention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Web search results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In-memory only; discarded after report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Scraped page content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In-memory only; not persisted unless explicitly ingested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Knowledge base chunks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Persisted in Qdrant until explicitly deleted via DELETE /ingest/{id}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LangSmith / Langfuse traces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30-day default retention in third-party observability platform; configurable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Generated reports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Saved to user's Notion workspace; not stored by ResearchIQ</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2.3 Guardrails</w:t>
      </w:r>
    </w:p>
    <w:p>
      <w:pPr>
        <w:pStyle w:val="Heading3"/>
        <w:spacing w:after="80" w:before="200"/>
      </w:pPr>
      <w:r>
        <w:rPr>
          <w:rFonts w:ascii="Arial" w:cs="Arial" w:eastAsia="Arial" w:hAnsi="Arial"/>
          <w:b/>
          <w:bCs/>
          <w:color w:val="1A1A2E"/>
          <w:sz w:val="24"/>
          <w:szCs w:val="24"/>
        </w:rPr>
        <w:t xml:space="preserve">2.3.1 Input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Query length limit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Maximum 500 characters; enforced at FastAPI request validation via Pydantic Field(max_length=500)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Topic safety filter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Coordinator agent system prompt instructs it to refuse queries requesting harmful, illegal, or privacy-invasive research. Returns a structured RefusalResponse with 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FastAPI middleware enforces per-IP rate limits (10 req/min for /research, 20 req/min for /ingest) using slowapi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Ingest file size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Maximum 10MB per document; enforced in /ingest endpoint before processing</w:t>
            </w:r>
          </w:p>
        </w:tc>
      </w:tr>
    </w:tbl>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2.3.2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Citation enforcement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Report Writer agent is prompted to include a source citation for every factual claim. Claims without traceable sources are marked [UNVERIFIED] and flagged in the report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Hallucination mitigation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Retrieved source content is injected directly into the report writer's context window. The prompt explicitly forbids adding information not present in the retrieved 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Confidence scoring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Each report section includes a confidence field (High / Medium / Low) based on source count and recency.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Output schema validation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Report Writer produces a Pydantic-validated ResearchReport object. If validation fails, the pipeline retries up to 2 times with a corrective prompt before returning an error.</w:t>
            </w:r>
          </w:p>
        </w:tc>
      </w:tr>
    </w:tbl>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2.3.3 Model-Level Safety</w:t>
      </w:r>
    </w:p>
    <w:p>
      <w:pPr>
        <w:pStyle w:val="ListParagraph"/>
        <w:numPr>
          <w:ilvl w:val="0"/>
          <w:numId w:val="2"/>
        </w:numPr>
        <w:spacing w:after="40" w:before="40"/>
      </w:pPr>
      <w:r>
        <w:rPr>
          <w:rFonts w:ascii="Arial" w:cs="Arial" w:eastAsia="Arial" w:hAnsi="Arial"/>
          <w:color w:val="595959"/>
          <w:sz w:val="22"/>
          <w:szCs w:val="22"/>
        </w:rPr>
        <w:t xml:space="preserve">Claude Sonnet 4.6 (primary LLM) includes Anthropic's built-in Constitutional AI safety features, which refuse harmful, deceptive, or dangerous content generation by default.</w:t>
      </w:r>
    </w:p>
    <w:p>
      <w:pPr>
        <w:pStyle w:val="ListParagraph"/>
        <w:numPr>
          <w:ilvl w:val="0"/>
          <w:numId w:val="2"/>
        </w:numPr>
        <w:spacing w:after="40" w:before="40"/>
      </w:pPr>
      <w:r>
        <w:rPr>
          <w:rFonts w:ascii="Arial" w:cs="Arial" w:eastAsia="Arial" w:hAnsi="Arial"/>
          <w:color w:val="595959"/>
          <w:sz w:val="22"/>
          <w:szCs w:val="22"/>
        </w:rPr>
        <w:t xml:space="preserve">System prompts for each agent explicitly scope the agent's role and restrict off-topic actions (e.g., the Web Researcher agent is instructed to only retrieve and summarise; it cannot execute code or make purchases).</w:t>
      </w:r>
    </w:p>
    <w:p>
      <w:pPr>
        <w:pStyle w:val="ListParagraph"/>
        <w:numPr>
          <w:ilvl w:val="0"/>
          <w:numId w:val="2"/>
        </w:numPr>
        <w:spacing w:after="40" w:before="40"/>
      </w:pPr>
      <w:r>
        <w:rPr>
          <w:rFonts w:ascii="Arial" w:cs="Arial" w:eastAsia="Arial" w:hAnsi="Arial"/>
          <w:color w:val="595959"/>
          <w:sz w:val="22"/>
          <w:szCs w:val="22"/>
        </w:rPr>
        <w:t xml:space="preserve">MCP tool exposure follows least-privilege: the Web Researcher agent only has access to search/scrape tools; the Report Writer agent only has access to the Notion write tool.</w:t>
      </w:r>
    </w:p>
    <w:p>
      <w:pPr>
        <w:spacing w:after="0" w:before="0"/>
      </w:pPr>
      <w:r>
        <w:rPr>
          <w:sz w:val="22"/>
          <w:szCs w:val="22"/>
        </w:rP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3. System Design</w:t>
      </w:r>
    </w:p>
    <w:p>
      <w:pPr>
        <w:pStyle w:val="Heading2"/>
        <w:spacing w:after="120" w:before="280"/>
      </w:pPr>
      <w:r>
        <w:rPr>
          <w:rFonts w:ascii="Arial" w:cs="Arial" w:eastAsia="Arial" w:hAnsi="Arial"/>
          <w:b/>
          <w:bCs/>
          <w:color w:val="2E75B6"/>
          <w:sz w:val="28"/>
          <w:szCs w:val="28"/>
        </w:rPr>
        <w:t xml:space="preserve">3.1 Architecture Overview</w:t>
      </w:r>
    </w:p>
    <w:p>
      <w:pPr>
        <w:spacing w:after="60" w:before="60"/>
      </w:pPr>
      <w:r>
        <w:rPr>
          <w:rFonts w:ascii="Arial" w:cs="Arial" w:eastAsia="Arial" w:hAnsi="Arial"/>
          <w:color w:val="595959"/>
          <w:sz w:val="22"/>
          <w:szCs w:val="22"/>
        </w:rPr>
        <w:t xml:space="preserve">ResearchIQ is a multi-agent system orchestrated by LangGraph, exposed via a FastAPI backend, and interacted with through a Streamlit UI. The architecture follows a hub-and-spoke pattern: a Coordinator agent decomposes the user query into sub-tasks and dispatches them in parallel to specialist agents, whose findings are synthesised by a Report Writer agent.</w:t>
      </w:r>
    </w:p>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3.1.1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FastAPI Backend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REST API layer — handles /research and /ingest endpoints, request validation, rate limiting, and streaming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LangGraph StateGraph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Orchestration engine — defines the agent graph, manages shared state (AgentState), and routes execution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Coordinator Agent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Query decomposition — uses Claude Sonnet 4.6 with structured output (Pydantic) to parse the query into 2-4 focused sub-tasks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Web Researcher Agent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Live retrieval — ReAct agent with Tavily MCP, ArXiv, Wikipedia, and scraper tools; runs one instance per sub-task in parallel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Document Analyst Agent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Knowledge base retrieval — ReAct agent with hybrid RAG tools; runs one instance per sub-task in parallel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Report Writer Agent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Synthesis — combines all findings into a structured ResearchReport; saves to Notion via MCP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Qdrant Vector Store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Dense vector index for semantic retrieval of knowledge base chunks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BM25 Index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Sparse keyword index for lexical retrieval; fused with Qdrant via RRF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Tavily MCP Server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Custom MCP server exposing web_search() and get_page_content()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Notion MCP Server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MCP server exposing create_page() and append_block() for report persistence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LangSmith + Langfuse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Observability — distributed tracing, LLM call logging, latency and cost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Streamlit UI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Frontend — chat-style interface with streaming output and knowledge base management panel</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3.2 Detailed Architecture</w:t>
      </w:r>
    </w:p>
    <w:p>
      <w:pPr>
        <w:pStyle w:val="Heading3"/>
        <w:spacing w:after="80" w:before="200"/>
      </w:pPr>
      <w:r>
        <w:rPr>
          <w:rFonts w:ascii="Arial" w:cs="Arial" w:eastAsia="Arial" w:hAnsi="Arial"/>
          <w:b/>
          <w:bCs/>
          <w:color w:val="1A1A2E"/>
          <w:sz w:val="24"/>
          <w:szCs w:val="24"/>
        </w:rPr>
        <w:t xml:space="preserve">3.2.1 LangGraph Agent Graph</w:t>
      </w:r>
    </w:p>
    <w:p>
      <w:pPr>
        <w:spacing w:after="60" w:before="60"/>
      </w:pPr>
      <w:r>
        <w:rPr>
          <w:rFonts w:ascii="Arial" w:cs="Arial" w:eastAsia="Arial" w:hAnsi="Arial"/>
          <w:color w:val="595959"/>
          <w:sz w:val="22"/>
          <w:szCs w:val="22"/>
        </w:rPr>
        <w:t xml:space="preserve">The LangGraph StateGraph defines four nodes connected as follows:</w:t>
      </w:r>
    </w:p>
    <w:p>
      <w:pPr>
        <w:pStyle w:val="ListParagraph"/>
        <w:numPr>
          <w:ilvl w:val="0"/>
          <w:numId w:val="2"/>
        </w:numPr>
        <w:spacing w:after="40" w:before="40"/>
      </w:pPr>
      <w:r>
        <w:rPr>
          <w:rFonts w:ascii="Arial" w:cs="Arial" w:eastAsia="Arial" w:hAnsi="Arial"/>
          <w:b/>
          <w:bCs/>
          <w:color w:val="1A1A2E"/>
          <w:sz w:val="22"/>
          <w:szCs w:val="22"/>
        </w:rPr>
        <w:t xml:space="preserve">coordinator</w:t>
      </w:r>
      <w:r>
        <w:rPr>
          <w:rFonts w:ascii="Arial" w:cs="Arial" w:eastAsia="Arial" w:hAnsi="Arial"/>
          <w:color w:val="595959"/>
          <w:sz w:val="22"/>
          <w:szCs w:val="22"/>
        </w:rPr>
        <w:t xml:space="preserve"> — parses query, emits sub-tasks to AgentState['sub_tasks']</w:t>
      </w:r>
    </w:p>
    <w:p>
      <w:pPr>
        <w:pStyle w:val="ListParagraph"/>
        <w:numPr>
          <w:ilvl w:val="0"/>
          <w:numId w:val="2"/>
        </w:numPr>
        <w:spacing w:after="40" w:before="40"/>
      </w:pPr>
      <w:r>
        <w:rPr>
          <w:rFonts w:ascii="Arial" w:cs="Arial" w:eastAsia="Arial" w:hAnsi="Arial"/>
          <w:b/>
          <w:bCs/>
          <w:color w:val="1A1A2E"/>
          <w:sz w:val="22"/>
          <w:szCs w:val="22"/>
        </w:rPr>
        <w:t xml:space="preserve">route_to_agents</w:t>
      </w:r>
      <w:r>
        <w:rPr>
          <w:rFonts w:ascii="Arial" w:cs="Arial" w:eastAsia="Arial" w:hAnsi="Arial"/>
          <w:color w:val="595959"/>
          <w:sz w:val="22"/>
          <w:szCs w:val="22"/>
        </w:rPr>
        <w:t xml:space="preserve"> — conditional edge that uses Send() API to dispatch parallel executions of web_researcher and doc_analyst, one per sub-task</w:t>
      </w:r>
    </w:p>
    <w:p>
      <w:pPr>
        <w:pStyle w:val="ListParagraph"/>
        <w:numPr>
          <w:ilvl w:val="0"/>
          <w:numId w:val="2"/>
        </w:numPr>
        <w:spacing w:after="40" w:before="40"/>
      </w:pPr>
      <w:r>
        <w:rPr>
          <w:rFonts w:ascii="Arial" w:cs="Arial" w:eastAsia="Arial" w:hAnsi="Arial"/>
          <w:b/>
          <w:bCs/>
          <w:color w:val="1A1A2E"/>
          <w:sz w:val="22"/>
          <w:szCs w:val="22"/>
        </w:rPr>
        <w:t xml:space="preserve">web_researcher / doc_analyst</w:t>
      </w:r>
      <w:r>
        <w:rPr>
          <w:rFonts w:ascii="Arial" w:cs="Arial" w:eastAsia="Arial" w:hAnsi="Arial"/>
          <w:color w:val="595959"/>
          <w:sz w:val="22"/>
          <w:szCs w:val="22"/>
        </w:rPr>
        <w:t xml:space="preserve"> — run concurrently; results fan back into AgentState using Annotated[list, add_messages] reducers</w:t>
      </w:r>
    </w:p>
    <w:p>
      <w:pPr>
        <w:pStyle w:val="ListParagraph"/>
        <w:numPr>
          <w:ilvl w:val="0"/>
          <w:numId w:val="2"/>
        </w:numPr>
        <w:spacing w:after="40" w:before="40"/>
      </w:pPr>
      <w:r>
        <w:rPr>
          <w:rFonts w:ascii="Arial" w:cs="Arial" w:eastAsia="Arial" w:hAnsi="Arial"/>
          <w:b/>
          <w:bCs/>
          <w:color w:val="1A1A2E"/>
          <w:sz w:val="22"/>
          <w:szCs w:val="22"/>
        </w:rPr>
        <w:t xml:space="preserve">report_writer</w:t>
      </w:r>
      <w:r>
        <w:rPr>
          <w:rFonts w:ascii="Arial" w:cs="Arial" w:eastAsia="Arial" w:hAnsi="Arial"/>
          <w:color w:val="595959"/>
          <w:sz w:val="22"/>
          <w:szCs w:val="22"/>
        </w:rPr>
        <w:t xml:space="preserve"> — receives all findings after fan-in; produces final ResearchReport, saves to Notion, returns structured output</w:t>
      </w:r>
    </w:p>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3.2.2 Hybrid RAG Pipeline</w:t>
      </w:r>
    </w:p>
    <w:p>
      <w:pPr>
        <w:spacing w:after="60" w:before="60"/>
      </w:pPr>
      <w:r>
        <w:rPr>
          <w:rFonts w:ascii="Arial" w:cs="Arial" w:eastAsia="Arial" w:hAnsi="Arial"/>
          <w:color w:val="595959"/>
          <w:sz w:val="22"/>
          <w:szCs w:val="22"/>
        </w:rPr>
        <w:t xml:space="preserve">The Document Analyst agent uses a three-stage retrieval pipeline:</w:t>
      </w:r>
    </w:p>
    <w:p>
      <w:pPr>
        <w:pStyle w:val="ListParagraph"/>
        <w:numPr>
          <w:ilvl w:val="0"/>
          <w:numId w:val="2"/>
        </w:numPr>
        <w:spacing w:after="40" w:before="40"/>
      </w:pPr>
      <w:r>
        <w:rPr>
          <w:rFonts w:ascii="Arial" w:cs="Arial" w:eastAsia="Arial" w:hAnsi="Arial"/>
          <w:color w:val="595959"/>
          <w:sz w:val="22"/>
          <w:szCs w:val="22"/>
        </w:rPr>
        <w:t xml:space="preserve">Stage 1 — Dual Retrieval: BM25 sparse search (rank_bm25) and Qdrant dense vector search are run in parallel, each returning top-20 candidates</w:t>
      </w:r>
    </w:p>
    <w:p>
      <w:pPr>
        <w:pStyle w:val="ListParagraph"/>
        <w:numPr>
          <w:ilvl w:val="0"/>
          <w:numId w:val="2"/>
        </w:numPr>
        <w:spacing w:after="40" w:before="40"/>
      </w:pPr>
      <w:r>
        <w:rPr>
          <w:rFonts w:ascii="Arial" w:cs="Arial" w:eastAsia="Arial" w:hAnsi="Arial"/>
          <w:color w:val="595959"/>
          <w:sz w:val="22"/>
          <w:szCs w:val="22"/>
        </w:rPr>
        <w:t xml:space="preserve">Stage 2 — RRF Fusion: Reciprocal Rank Fusion combines the two ranked lists, rewarding documents that rank highly in both modalities, producing a single unified ranking</w:t>
      </w:r>
    </w:p>
    <w:p>
      <w:pPr>
        <w:pStyle w:val="ListParagraph"/>
        <w:numPr>
          <w:ilvl w:val="0"/>
          <w:numId w:val="2"/>
        </w:numPr>
        <w:spacing w:after="40" w:before="40"/>
      </w:pPr>
      <w:r>
        <w:rPr>
          <w:rFonts w:ascii="Arial" w:cs="Arial" w:eastAsia="Arial" w:hAnsi="Arial"/>
          <w:color w:val="595959"/>
          <w:sz w:val="22"/>
          <w:szCs w:val="22"/>
        </w:rPr>
        <w:t xml:space="preserve">Stage 3 — Cross-Encoder Re-ranking: The top-10 fused candidates are re-scored by ms-marco-MiniLM-L-6-v2 cross-encoder, which evaluates query-document relevance jointly; top-5 are returned to the agent</w:t>
      </w:r>
    </w:p>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3.2.3 MCP Integration</w:t>
      </w:r>
    </w:p>
    <w:p>
      <w:pPr>
        <w:spacing w:after="60" w:before="60"/>
      </w:pPr>
      <w:r>
        <w:rPr>
          <w:rFonts w:ascii="Arial" w:cs="Arial" w:eastAsia="Arial" w:hAnsi="Arial"/>
          <w:color w:val="595959"/>
          <w:sz w:val="22"/>
          <w:szCs w:val="22"/>
        </w:rPr>
        <w:t xml:space="preserve">Two custom MCP servers expose domain-specific capabilities to agents as standardised tool interfaces:</w:t>
      </w:r>
    </w:p>
    <w:p>
      <w:pPr>
        <w:pStyle w:val="ListParagraph"/>
        <w:numPr>
          <w:ilvl w:val="0"/>
          <w:numId w:val="2"/>
        </w:numPr>
        <w:spacing w:after="40" w:before="40"/>
      </w:pPr>
      <w:r>
        <w:rPr>
          <w:rFonts w:ascii="Arial" w:cs="Arial" w:eastAsia="Arial" w:hAnsi="Arial"/>
          <w:b/>
          <w:bCs/>
          <w:color w:val="1A1A2E"/>
          <w:sz w:val="22"/>
          <w:szCs w:val="22"/>
        </w:rPr>
        <w:t xml:space="preserve">Tavily MCP Server</w:t>
      </w:r>
      <w:r>
        <w:rPr>
          <w:rFonts w:ascii="Arial" w:cs="Arial" w:eastAsia="Arial" w:hAnsi="Arial"/>
          <w:color w:val="595959"/>
          <w:sz w:val="22"/>
          <w:szCs w:val="22"/>
        </w:rPr>
        <w:t xml:space="preserve"> (src/mcp/tavily_server.py): exposes web_search(query, max_results) and get_page_content(url). Web Researcher agents connect as MCP clients via langchain-mcp-adapters.</w:t>
      </w:r>
    </w:p>
    <w:p>
      <w:pPr>
        <w:pStyle w:val="ListParagraph"/>
        <w:numPr>
          <w:ilvl w:val="0"/>
          <w:numId w:val="2"/>
        </w:numPr>
        <w:spacing w:after="40" w:before="40"/>
      </w:pPr>
      <w:r>
        <w:rPr>
          <w:rFonts w:ascii="Arial" w:cs="Arial" w:eastAsia="Arial" w:hAnsi="Arial"/>
          <w:b/>
          <w:bCs/>
          <w:color w:val="1A1A2E"/>
          <w:sz w:val="22"/>
          <w:szCs w:val="22"/>
        </w:rPr>
        <w:t xml:space="preserve">Notion MCP Server</w:t>
      </w:r>
      <w:r>
        <w:rPr>
          <w:rFonts w:ascii="Arial" w:cs="Arial" w:eastAsia="Arial" w:hAnsi="Arial"/>
          <w:color w:val="595959"/>
          <w:sz w:val="22"/>
          <w:szCs w:val="22"/>
        </w:rPr>
        <w:t xml:space="preserve"> (src/mcp/notion_server.py): exposes create_page(title, content) and append_block(page_id, block). Report Writer agent connects as MCP client. Authenticated via NOTION_TOKEN env var.</w:t>
      </w:r>
    </w:p>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3.2.4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Orchestration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LangGraph (StateGraph, async)</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Industry-standard multi-agent framework; native parallel dispatch via Send()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Primary LLM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Claude Sonnet 4.6</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Best-in-class reasoning; structured output; 200K context window for synthesis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Fallback LLM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GPT-4o</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Redundancy for LLM API outages; similar capability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Vector Store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Qdrant (Docker)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Production-grade; supports hybrid dense+sparse; fast ANN with HNSW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Sparse Search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rank_bm25</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Lightweight BM25 implementation; persisted as JSON for stateless restarts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Hybrid Fusion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Reciprocal Rank Fusion</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Parameter-free; consistently outperforms individual retrievers across domains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Re-ranking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ms-marco-MiniLM-L-6-v2</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State-of-art cross-encoder; fast inference; strong MRR on MS MARCO benchmark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Embeddings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OpenAI text-embedding-3-small</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Cost-effective; strong benchmark performance; 1536-dim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Web Search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Tavily MCP</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Research-optimised search API with structured output; custom MCP wrapper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Storage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Notion MCP</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User-familiar workspace for report persistence; rich formatting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Backend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FastAPI + asyncio</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Async streaming support; OpenAPI docs; production-grade middleware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Frontend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Streamlit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Rapid UI; native streaming support; zero-JS for demos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Observability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LangSmith + Langfuse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Distributed tracing + cost/latency dashboards; complementary feature 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Containerisation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Docker + Docker Compose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Reproducible deployments; bundles app + Qdrant in one compose file</w:t>
            </w:r>
          </w:p>
        </w:tc>
      </w:tr>
    </w:tbl>
    <w:p>
      <w:pPr>
        <w:spacing w:after="0" w:before="0"/>
      </w:pPr>
      <w:r>
        <w:rPr>
          <w:sz w:val="22"/>
          <w:szCs w:val="22"/>
        </w:rPr>
        <w:t xml:space="preserve"/>
      </w:r>
    </w:p>
    <w:p>
      <w:r>
        <w:br w:type="page"/>
      </w:r>
    </w:p>
    <w:p>
      <w:pPr>
        <w:pStyle w:val="Heading2"/>
        <w:spacing w:after="120" w:before="280"/>
      </w:pPr>
      <w:r>
        <w:rPr>
          <w:rFonts w:ascii="Arial" w:cs="Arial" w:eastAsia="Arial" w:hAnsi="Arial"/>
          <w:b/>
          <w:bCs/>
          <w:color w:val="2E75B6"/>
          <w:sz w:val="28"/>
          <w:szCs w:val="28"/>
        </w:rPr>
        <w:t xml:space="preserve">3.3 Architecture Trade-Offs</w:t>
      </w:r>
    </w:p>
    <w:p>
      <w:pPr>
        <w:spacing w:after="60" w:before="60"/>
      </w:pPr>
      <w:r>
        <w:rPr>
          <w:rFonts w:ascii="Arial" w:cs="Arial" w:eastAsia="Arial" w:hAnsi="Arial"/>
          <w:color w:val="595959"/>
          <w:sz w:val="22"/>
          <w:szCs w:val="22"/>
        </w:rPr>
        <w:t xml:space="preserve">The following table documents key design decisions and their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Chosen Approach</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Agent parallelism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LangGraph Send() dispatches one agent instance per sub-task in parallel</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Higher token consumption vs. sequential execution; justified by ~50% latency reduction for 4-subtask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Retrieval strategy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Hybrid BM25 + Qdrant dense + cross-encoder re-ranking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Higher complexity and CPU cost vs. single-modality vector search; justified by measurably higher retrieval precision (MRR@5)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LLM provider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Claude Sonnet 4.6 (primary) + GPT-4o (fallback)</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Higher cost per token vs. using a single cheaper model; justified by synthesis quality requirements and availability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MCP architecture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Custom MCP servers for Tavily and Notion</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Additional engineering overhead vs. calling APIs directly; justified by standardised tool interface, independent scalability, and MCP protocol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Knowledge base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Qdrant (self-hosted Docker)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Operational overhead vs. managed service (Pinecone, Weaviate Cloud); justified by cost control in a capstone context and local iteration 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Output persistence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Notion via MCP</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Dependency on Notion API availability vs. saving to local filesystem; justified by richer formatting, sharability, and real-world relevance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Semantic chunking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SemanticChunker over fixed-size chunking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Higher ingestion cost (requires embedding during chunking) vs. character-level splitting; justified by significantly better chunk boundary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Caching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InMemoryCache for repeated queries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Cache does not persist across restarts vs. Redis-backed cache; accepted trade-off for capstone scope</w:t>
            </w:r>
          </w:p>
        </w:tc>
      </w:tr>
    </w:tbl>
    <w:p>
      <w:pPr>
        <w:spacing w:after="0" w:before="0"/>
      </w:pPr>
      <w:r>
        <w:rPr>
          <w:sz w:val="22"/>
          <w:szCs w:val="22"/>
        </w:rP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4. Evaluation Framework</w:t>
      </w:r>
    </w:p>
    <w:p>
      <w:pPr>
        <w:spacing w:after="60" w:before="60"/>
      </w:pPr>
      <w:r>
        <w:rPr>
          <w:rFonts w:ascii="Arial" w:cs="Arial" w:eastAsia="Arial" w:hAnsi="Arial"/>
          <w:color w:val="595959"/>
          <w:sz w:val="22"/>
          <w:szCs w:val="22"/>
        </w:rPr>
        <w:t xml:space="preserve">ResearchIQ is evaluated across four dimensions: task-specific quality, error handling robustness, cost efficiency, and latency. Each dimension has defined metrics, measurement methods, and target thresholds.</w:t>
      </w:r>
    </w:p>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4.1 Task-Specific Evaluations</w:t>
      </w:r>
    </w:p>
    <w:p>
      <w:pPr>
        <w:pStyle w:val="Heading3"/>
        <w:spacing w:after="80" w:before="200"/>
      </w:pPr>
      <w:r>
        <w:rPr>
          <w:rFonts w:ascii="Arial" w:cs="Arial" w:eastAsia="Arial" w:hAnsi="Arial"/>
          <w:b/>
          <w:bCs/>
          <w:color w:val="1A1A2E"/>
          <w:sz w:val="24"/>
          <w:szCs w:val="24"/>
        </w:rPr>
        <w:t xml:space="preserve">4.1.1 Retrieval Quality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 &amp;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MRR@5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Mean Reciprocal Rank of the first relevant document in the top-5 retrieved chunks. Target: MRR@5 &gt;= 0.75 on a 50-query golden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Precision@5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Fraction of the top-5 retrieved chunks judged relevant by a human evaluator. Target: &gt;= 0.70.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Hybrid vs. Dense-only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Compare MRR@5 of hybrid pipeline against Qdrant-only retrieval. Target: hybrid &gt;= 10% relative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Re-ranking delta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MRR@5 before and after cross-encoder re-ranking. Target: &gt;= 5% relative improvement post re-ranking.</w:t>
            </w:r>
          </w:p>
        </w:tc>
      </w:tr>
    </w:tbl>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4.1.2 Report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 &amp;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Factual grounding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Percentage of report claims traceable to a retrieved source citation. Target: &gt;= 95% (enforced by output guardrail; measured by automated citation extractor).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LLM-as-judge score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GPT-4o evaluates each generated report on coherence, completeness, and relevance (1-5 scale) against a reference outline. Target: mean score &gt;= 4.0 on 20-report eval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Query coverage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Fraction of user sub-tasks addressed in the final report. Measured by prompting an evaluator LLM to check sub-task coverage. Target: &gt;= 90% of sub-tasks covered.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Report schema validity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Percentage of reports passing Pydantic ResearchReport validation on first generation attempt. Target: &gt;= 98%.</w:t>
            </w:r>
          </w:p>
        </w:tc>
      </w:tr>
    </w:tbl>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4.1.3 Agent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 &amp;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Sub-task decomposition quality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Human evaluation of whether Coordinator's sub-tasks are distinct, focused, and collectively exhaustive. Target: &gt;= 85% rated 'good' or 'excellent'.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Tool call accuracy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Percentage of agent tool calls that return valid, non-error results. Target: &gt;= 90% across all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Web Researcher source diversity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Average number of unique domains cited per sub-task. Target: &gt;= 3 unique domains per sub-task.</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4.2 Error Handling</w:t>
      </w:r>
    </w:p>
    <w:p>
      <w:pPr>
        <w:spacing w:after="60" w:before="60"/>
      </w:pPr>
      <w:r>
        <w:rPr>
          <w:rFonts w:ascii="Arial" w:cs="Arial" w:eastAsia="Arial" w:hAnsi="Arial"/>
          <w:color w:val="595959"/>
          <w:sz w:val="22"/>
          <w:szCs w:val="22"/>
        </w:rPr>
        <w:t xml:space="preserve">ResearchIQ implements defensive error handling at every layer:</w:t>
      </w:r>
    </w:p>
    <w:p>
      <w:pPr>
        <w:pStyle w:val="Heading3"/>
        <w:spacing w:after="80" w:before="200"/>
      </w:pPr>
      <w:r>
        <w:rPr>
          <w:rFonts w:ascii="Arial" w:cs="Arial" w:eastAsia="Arial" w:hAnsi="Arial"/>
          <w:b/>
          <w:bCs/>
          <w:color w:val="1A1A2E"/>
          <w:sz w:val="24"/>
          <w:szCs w:val="24"/>
        </w:rPr>
        <w:t xml:space="preserve">4.2.1 Error Categories &amp;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Category</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LLM API failure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Claude API timeout / 5xx</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Retry up to 3x with exponential backoff (tenacity); fallback to GPT-4o on 3rd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Search tool failure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Tavily / ArXiv API error</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Agent catches ToolException; retries once; continues with partial results if retry fails; flags in report metadata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Scraper failure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URL unreachable / paywall</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Returns empty string with error flag; agent skips source and continues with remaining URLs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RAG retrieval failure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Qdrant unavailable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Catches ConnectionError; doc_analyst agent returns empty findings with error flag; coordinator logs warning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Output schema failure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Report writer produces invalid JSON</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Retry prompt with corrective instruction up to 2x; if all retries fail, return partial report with validation_error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Rate limit exceeded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LLM or search API 429</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Wait-and-retry via tenacity with jitter; surfaces to user as 503 with retry-after header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MCP server crash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Tavily / Notion MCP process dies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FastAPI lifespan manager detects disconnection; restarts MCP server process; returns 503 if restart fails</w:t>
            </w:r>
          </w:p>
        </w:tc>
      </w:tr>
    </w:tbl>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4.2.2 Error Handling Eval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Graceful degradation rate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System returns a partial or fallback report (rather than an unhandled exception) for &gt;= 95% of single-component failure scenarios.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Retry success rate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&gt;= 80% of transient failures (timeouts, 429s) resolved by retry logic without user-visible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Mean time to recovery (MTTR)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&lt; 5 seconds for MCP server restart; &lt; 30 seconds for full system restart via Docker Compose.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Error observability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100% of errors captured in LangSmith trace with error type, component, and stack trace.</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4.3 Cost Evaluation</w:t>
      </w:r>
    </w:p>
    <w:p>
      <w:pPr>
        <w:pStyle w:val="Heading3"/>
        <w:spacing w:after="80" w:before="200"/>
      </w:pPr>
      <w:r>
        <w:rPr>
          <w:rFonts w:ascii="Arial" w:cs="Arial" w:eastAsia="Arial" w:hAnsi="Arial"/>
          <w:b/>
          <w:bCs/>
          <w:color w:val="1A1A2E"/>
          <w:sz w:val="24"/>
          <w:szCs w:val="24"/>
        </w:rPr>
        <w:t xml:space="preserve">4.3.1 Per-Report Cost Breakdown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 Tokens / Call</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 Cost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Coordinator (query decomposition)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~500 input + ~200 output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$0.002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Web Researcher x 4 sub-tasks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~2,000 input + ~500 output each</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$0.030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Document Analyst x 4 sub-tasks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~2,000 input + ~500 output each</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$0.030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Report Writer (synthesis)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~8,000 input + ~2,000 output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$0.040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Embeddings (retrieval)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~1,000 tokens (query embedding)</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$0.0001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Tavily Search API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10 searches x $0.001/search</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$0.010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Total estimated cost per report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~$0.11 - $0.15</w:t>
            </w:r>
          </w:p>
        </w:tc>
      </w:tr>
    </w:tbl>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4.3.2 Cost Control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Semantic caching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InMemoryCache stores embeddings of previous queries; near-duplicate queries reuse cached results, skipping LLM calls. Target: 20% cache hit rate for repeat topic areas.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Max sub-task cap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Coordinator is prompted and constrained to produce a maximum of 4 sub-tasks; prevents runaway parallelism on broad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Source content truncation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Scraped web content truncated to 4,000 tokens per source before injection into agent context; prevents context bloat.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Chunk re-use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Cross-encoder output is cached per query+chunk pair within a session; prevents redundant re-ranking for overlapping sub-task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Cost alerting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Langfuse budget alert triggers at $5/day and $50/month; surfaces in Slack via configurable webhook.</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4.4 Latency Evaluation</w:t>
      </w:r>
    </w:p>
    <w:p>
      <w:pPr>
        <w:pStyle w:val="Heading3"/>
        <w:spacing w:after="80" w:before="200"/>
      </w:pPr>
      <w:r>
        <w:rPr>
          <w:rFonts w:ascii="Arial" w:cs="Arial" w:eastAsia="Arial" w:hAnsi="Arial"/>
          <w:b/>
          <w:bCs/>
          <w:color w:val="1A1A2E"/>
          <w:sz w:val="24"/>
          <w:szCs w:val="24"/>
        </w:rPr>
        <w:t xml:space="preserve">4.4.1 Latency Targets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P50 Target</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P95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Coordinator (query decomposition)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&lt; 2s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&lt; 4s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Web Researcher per sub-task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&lt; 8s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&lt; 15s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Document Analyst per sub-task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&lt; 3s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&lt; 6s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Parallel agent execution (all sub-tasks)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&lt; 12s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&lt; 20s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Report Writer (synthesis)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&lt; 10s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&lt; 18s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End-to-end (user query to report ready)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&lt; 30s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&lt; 55s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Notion save (MCP write)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&lt; 3s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&lt; 6s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First streaming token to UI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&lt; 5s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&lt; 10s</w:t>
            </w:r>
          </w:p>
        </w:tc>
      </w:tr>
    </w:tbl>
    <w:p>
      <w:pPr>
        <w:spacing w:after="0" w:before="0"/>
      </w:pPr>
      <w:r>
        <w:rPr>
          <w:sz w:val="22"/>
          <w:szCs w:val="22"/>
        </w:rPr>
        <w:t xml:space="preserve"/>
      </w:r>
    </w:p>
    <w:p>
      <w:pPr>
        <w:pStyle w:val="Heading3"/>
        <w:spacing w:after="80" w:before="200"/>
      </w:pPr>
      <w:r>
        <w:rPr>
          <w:rFonts w:ascii="Arial" w:cs="Arial" w:eastAsia="Arial" w:hAnsi="Arial"/>
          <w:b/>
          <w:bCs/>
          <w:color w:val="1A1A2E"/>
          <w:sz w:val="24"/>
          <w:szCs w:val="24"/>
        </w:rPr>
        <w:t xml:space="preserve">4.4.2 Latency Optimisation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Parallel agent dispatch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LangGraph Send() API dispatches all sub-task agents truly in parallel using asyncio. For 4 sub-tasks, this reduces agent execution time from ~sum to ~max, delivering ~50% latency reduction vs. sequential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Async throughout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All agent invocations use ainvoke; all I/O (Qdrant, Tavily, scraper) is async; FastAPI endpoint uses async def and streams via StreamingResponse.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BM25 pre-computation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BM25 index is built at ingestion time and persisted to JSON; retrieval is O(1) index lookup + scoring, adding &lt; 50ms to retrieval latency.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Streaming response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FastAPI uses astream_events to stream LangGraph output tokens to Streamlit as they are generated, reducing perceived latency. First token target: &lt; 5s.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Connection pooling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Qdrant client and HTTP sessions are initialised once at FastAPI lifespan startup and reused across requests; eliminates per-request connection overhead.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Latency monitoring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LangSmith and Langfuse capture per-node latency in every trace; P50/P95 dashboards alert if targets are breached.</w:t>
            </w:r>
          </w:p>
        </w:tc>
      </w:tr>
    </w:tbl>
    <w:p>
      <w:pPr>
        <w:spacing w:after="0" w:before="0"/>
      </w:pPr>
      <w:r>
        <w:rPr>
          <w:sz w:val="22"/>
          <w:szCs w:val="22"/>
        </w:rP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5. Deployment &amp; Observability</w:t>
      </w:r>
    </w:p>
    <w:p>
      <w:pPr>
        <w:pStyle w:val="Heading2"/>
        <w:spacing w:after="120" w:before="280"/>
      </w:pPr>
      <w:r>
        <w:rPr>
          <w:rFonts w:ascii="Arial" w:cs="Arial" w:eastAsia="Arial" w:hAnsi="Arial"/>
          <w:b/>
          <w:bCs/>
          <w:color w:val="2E75B6"/>
          <w:sz w:val="28"/>
          <w:szCs w:val="28"/>
        </w:rPr>
        <w:t xml:space="preserve">5.1 Deployment Architecture</w:t>
      </w:r>
    </w:p>
    <w:p>
      <w:pPr>
        <w:spacing w:after="60" w:before="60"/>
      </w:pPr>
      <w:r>
        <w:rPr>
          <w:rFonts w:ascii="Arial" w:cs="Arial" w:eastAsia="Arial" w:hAnsi="Arial"/>
          <w:color w:val="595959"/>
          <w:sz w:val="22"/>
          <w:szCs w:val="22"/>
        </w:rPr>
        <w:t xml:space="preserve">The system is containerised with Docker Compose, packaging two services:</w:t>
      </w:r>
    </w:p>
    <w:p>
      <w:pPr>
        <w:pStyle w:val="ListParagraph"/>
        <w:numPr>
          <w:ilvl w:val="0"/>
          <w:numId w:val="2"/>
        </w:numPr>
        <w:spacing w:after="40" w:before="40"/>
      </w:pPr>
      <w:r>
        <w:rPr>
          <w:rFonts w:ascii="Arial" w:cs="Arial" w:eastAsia="Arial" w:hAnsi="Arial"/>
          <w:b/>
          <w:bCs/>
          <w:color w:val="1A1A2E"/>
          <w:sz w:val="22"/>
          <w:szCs w:val="22"/>
        </w:rPr>
        <w:t xml:space="preserve">app</w:t>
      </w:r>
      <w:r>
        <w:rPr>
          <w:rFonts w:ascii="Arial" w:cs="Arial" w:eastAsia="Arial" w:hAnsi="Arial"/>
          <w:color w:val="595959"/>
          <w:sz w:val="22"/>
          <w:szCs w:val="22"/>
        </w:rPr>
        <w:t xml:space="preserve"> — FastAPI + LangGraph application (custom Dockerfile, Python 3.11, uv package manager)</w:t>
      </w:r>
    </w:p>
    <w:p>
      <w:pPr>
        <w:pStyle w:val="ListParagraph"/>
        <w:numPr>
          <w:ilvl w:val="0"/>
          <w:numId w:val="2"/>
        </w:numPr>
        <w:spacing w:after="40" w:before="40"/>
      </w:pPr>
      <w:r>
        <w:rPr>
          <w:rFonts w:ascii="Arial" w:cs="Arial" w:eastAsia="Arial" w:hAnsi="Arial"/>
          <w:b/>
          <w:bCs/>
          <w:color w:val="1A1A2E"/>
          <w:sz w:val="22"/>
          <w:szCs w:val="22"/>
        </w:rPr>
        <w:t xml:space="preserve">qdrant</w:t>
      </w:r>
      <w:r>
        <w:rPr>
          <w:rFonts w:ascii="Arial" w:cs="Arial" w:eastAsia="Arial" w:hAnsi="Arial"/>
          <w:color w:val="595959"/>
          <w:sz w:val="22"/>
          <w:szCs w:val="22"/>
        </w:rPr>
        <w:t xml:space="preserve"> — Qdrant vector store (official qdrant/qdrant Docker image, port 6333)</w:t>
      </w:r>
    </w:p>
    <w:p>
      <w:pPr>
        <w:spacing w:after="60" w:before="60"/>
      </w:pPr>
      <w:r>
        <w:rPr>
          <w:rFonts w:ascii="Arial" w:cs="Arial" w:eastAsia="Arial" w:hAnsi="Arial"/>
          <w:color w:val="595959"/>
          <w:sz w:val="22"/>
          <w:szCs w:val="22"/>
        </w:rPr>
        <w:t xml:space="preserve">MCP servers (Tavily, Notion) run as stdio child processes spawned by the FastAPI lifespan handler. All secrets are injected via environment variables from a .env file (never committed to source control).</w:t>
      </w:r>
    </w:p>
    <w:p>
      <w:pPr>
        <w:spacing w:after="0" w:before="0"/>
      </w:pPr>
      <w:r>
        <w:rPr>
          <w:sz w:val="22"/>
          <w:szCs w:val="22"/>
        </w:rPr>
        <w:t xml:space="preserve"/>
      </w:r>
    </w:p>
    <w:p>
      <w:pPr>
        <w:pStyle w:val="Heading2"/>
        <w:spacing w:after="120" w:before="280"/>
      </w:pPr>
      <w:r>
        <w:rPr>
          <w:rFonts w:ascii="Arial" w:cs="Arial" w:eastAsia="Arial" w:hAnsi="Arial"/>
          <w:b/>
          <w:bCs/>
          <w:color w:val="2E75B6"/>
          <w:sz w:val="28"/>
          <w:szCs w:val="28"/>
        </w:rPr>
        <w:t xml:space="preserve">5.2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LangSmith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Full LangGraph trace per request: node-level execution, tool calls, LLM inputs/outputs, latency per node, error traces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Langfuse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LLM call monitoring: token counts, model used, cost per call, latency distribution, user feedback scores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Structured logging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Python logging with JSON formatter; captures request ID, query hash, sub-task count, total duration, error type on every 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Docker health checks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Both services expose /health endpoints; Docker Compose restart: unless-stopped policy provides basic self-healing</w:t>
            </w:r>
          </w:p>
        </w:tc>
      </w:tr>
    </w:tbl>
    <w:p>
      <w:pPr>
        <w:spacing w:after="0" w:before="0"/>
      </w:pPr>
      <w:r>
        <w:rPr>
          <w:sz w:val="22"/>
          <w:szCs w:val="22"/>
        </w:rPr>
        <w:t xml:space="preserve"/>
      </w:r>
    </w:p>
    <w:p>
      <w:pPr>
        <w:pStyle w:val="Heading1"/>
        <w:pBdr>
          <w:bottom w:val="single" w:color="2E75B6" w:sz="8" w:space="4"/>
        </w:pBdr>
        <w:spacing w:after="160" w:before="400"/>
      </w:pPr>
      <w:r>
        <w:rPr>
          <w:rFonts w:ascii="Arial" w:cs="Arial" w:eastAsia="Arial" w:hAnsi="Arial"/>
          <w:b/>
          <w:bCs/>
          <w:color w:val="1F4E79"/>
          <w:sz w:val="36"/>
          <w:szCs w:val="36"/>
        </w:rPr>
        <w:t xml:space="preserve">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LLM hallucination in synthesised report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Medium</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Citation enforcement guardrail; LLM-as-judge eval; human review flag for low-confidence sections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Tavily API rate limits during parallel search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Medium</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Retry with backoff; request batching; cache frequent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Knowledge base quality degradation over 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Low</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Ingestion timestamp metadata; manual DELETE /ingest/{id} for stale 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Notion MCP API breaking changes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Low</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Pin Notion API version; integration test suite catches breakage on CI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Cross-encoder latency on large candidate sets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Low</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Candidate set capped at 10 before re-ranking; cross-encoder is CPU-bound but fast at this scale (&lt;200ms)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Scope creep into regulated domains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Low</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Topic safety filter in Coordinator system prompt; explicit disclaimer in Streamlit UI</w:t>
            </w:r>
          </w:p>
        </w:tc>
      </w:tr>
    </w:tbl>
    <w:p>
      <w:pPr>
        <w:spacing w:after="0" w:before="0"/>
      </w:pPr>
      <w:r>
        <w:rPr>
          <w:sz w:val="22"/>
          <w:szCs w:val="22"/>
        </w:rPr>
        <w:t xml:space="preserve"/>
      </w:r>
    </w:p>
    <w:p>
      <w:r>
        <w:br w:type="page"/>
      </w:r>
    </w:p>
    <w:p>
      <w:pPr>
        <w:pStyle w:val="Heading1"/>
        <w:pBdr>
          <w:bottom w:val="single" w:color="2E75B6" w:sz="8" w:space="4"/>
        </w:pBdr>
        <w:spacing w:after="160" w:before="400"/>
      </w:pPr>
      <w:r>
        <w:rPr>
          <w:rFonts w:ascii="Arial" w:cs="Arial" w:eastAsia="Arial" w:hAnsi="Arial"/>
          <w:b/>
          <w:bCs/>
          <w:color w:val="1F4E79"/>
          <w:sz w:val="36"/>
          <w:szCs w:val="36"/>
        </w:rPr>
        <w:t xml:space="preserve">7. Appendix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ANTHROPIC_API_KEY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Claude Sonnet 4.6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OPENAI_API_KEY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GPT-4o fallback + text-embedding-3-small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TAVILY_API_KEY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Web search via Tavily MCP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QDRANT_URL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Qdrant vector store connection (default: http://localhost:6333)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QDRANT_COLLECTION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Collection name (default: researchiq)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NOTION_TOKEN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Notion integration token for MCP report save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NOTION_DATABASE_ID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Target Notion database for report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LANGCHAIN_API_KEY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LangSmith tracing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LANGFUSE_PUBLIC_KEY / SECRET_KEY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Langfuse cost + latency monitoring</w:t>
            </w:r>
          </w:p>
        </w:tc>
      </w:tr>
    </w:tbl>
    <w:p>
      <w:pPr>
        <w:spacing w:after="0" w:before="0"/>
      </w:pPr>
      <w:r>
        <w:rPr>
          <w:sz w:val="22"/>
          <w:szCs w:val="22"/>
        </w:rPr>
        <w:t xml:space="preserve"/>
      </w:r>
    </w:p>
    <w:p>
      <w:pPr>
        <w:spacing w:after="60" w:before="60"/>
      </w:pPr>
      <w:r>
        <w:rPr>
          <w:rFonts w:ascii="Arial" w:cs="Arial" w:eastAsia="Arial" w:hAnsi="Arial"/>
          <w:color w:val="595959"/>
          <w:sz w:val="22"/>
          <w:szCs w:val="22"/>
        </w:rPr>
        <w:t xml:space="preserve">All configuration is managed via Pydantic Settings v2 (src/config/settings.py), which validates types and raises clear errors on missing required variables at startup.</w:t>
      </w:r>
    </w:p>
    <w:p>
      <w:pPr>
        <w:spacing w:after="0" w:before="0"/>
      </w:pPr>
      <w:r>
        <w:rPr>
          <w:sz w:val="44"/>
          <w:szCs w:val="44"/>
        </w:rPr>
        <w:t xml:space="preserve"/>
      </w:r>
    </w:p>
    <w:p>
      <w:pPr>
        <w:spacing w:after="0" w:before="400"/>
        <w:jc w:val="center"/>
      </w:pPr>
      <w:r>
        <w:rPr>
          <w:rFonts w:ascii="Arial" w:cs="Arial" w:eastAsia="Arial" w:hAnsi="Arial"/>
          <w:i/>
          <w:iCs/>
          <w:color w:val="595959"/>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8640"/>
      </w:tabs>
    </w:pPr>
    <w:r>
      <w:rPr>
        <w:rFonts w:ascii="Arial" w:cs="Arial" w:eastAsia="Arial" w:hAnsi="Arial"/>
        <w:color w:val="595959"/>
        <w:sz w:val="18"/>
        <w:szCs w:val="18"/>
      </w:rPr>
      <w:t xml:space="preserve">AI Engineering Cohort | Capstone Project</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8640"/>
      </w:tabs>
    </w:pPr>
    <w:r>
      <w:rPr>
        <w:rFonts w:ascii="Arial" w:cs="Arial" w:eastAsia="Arial" w:hAnsi="Arial"/>
        <w:color w:val="595959"/>
        <w:sz w:val="18"/>
        <w:szCs w:val="18"/>
      </w:rPr>
      <w:t xml:space="preserve">ResearchIQ — System Design Document</w:t>
    </w:r>
    <w:r>
      <w:rPr>
        <w:sz w:val="18"/>
        <w:szCs w:val="18"/>
      </w:rPr>
      <w:t xml:space="preserve">	</w:t>
    </w:r>
    <w:r>
      <w:rPr>
        <w:rFonts w:ascii="Arial" w:cs="Arial" w:eastAsia="Arial" w:hAnsi="Arial"/>
        <w:b/>
        <w:bCs/>
        <w:color w:val="2E75B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2026-06-03T22:46:15.976Z</dcterms:created>
  <dcterms:modified xsi:type="dcterms:W3CDTF">2026-06-03T22:46:15.978Z</dcterms:modified>
</cp:coreProperties>
</file>

<file path=docProps/custom.xml><?xml version="1.0" encoding="utf-8"?>
<Properties xmlns="http://schemas.openxmlformats.org/officeDocument/2006/custom-properties" xmlns:vt="http://schemas.openxmlformats.org/officeDocument/2006/docPropsVTypes"/>
</file>