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Title"/>
      </w:pPr>
      <w:r>
        <w:rPr>
          <w:rtl w:val="0"/>
          <w:lang w:val="en-US"/>
        </w:rPr>
        <w:t>Individual Testing</w:t>
      </w:r>
    </w:p>
    <w:p>
      <w:pPr>
        <w:pStyle w:val="Heading"/>
      </w:pPr>
      <w:r>
        <w:rPr>
          <w:rtl w:val="0"/>
          <w:lang w:val="en-US"/>
        </w:rPr>
        <w:t>1. Assignment &amp; Accountability</w:t>
      </w:r>
    </w:p>
    <w:tbl>
      <w:tblPr>
        <w:tblW w:w="10080" w:type="dxa"/>
        <w:jc w:val="left"/>
        <w:tblInd w:w="324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5040"/>
        <w:gridCol w:w="5040"/>
      </w:tblGrid>
      <w:tr>
        <w:tblPrEx>
          <w:shd w:val="clear" w:color="auto" w:fill="ced7e7"/>
        </w:tblPrEx>
        <w:trPr>
          <w:trHeight w:val="230" w:hRule="atLeast"/>
        </w:trPr>
        <w:tc>
          <w:tcPr>
            <w:tcW w:type="dxa" w:w="50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af1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pacing w:after="40"/>
            </w:pPr>
            <w:r>
              <w:rPr>
                <w:rFonts w:ascii="Aptos" w:cs="Aptos" w:hAnsi="Aptos" w:eastAsia="Aptos"/>
                <w:b w:val="1"/>
                <w:bCs w:val="1"/>
                <w:outline w:val="0"/>
                <w:color w:val="1f5a85"/>
                <w:sz w:val="17"/>
                <w:szCs w:val="17"/>
                <w:u w:color="1f5a85"/>
                <w:shd w:val="nil" w:color="auto" w:fill="auto"/>
                <w:rtl w:val="0"/>
                <w:lang w:val="en-US"/>
                <w14:textFill>
                  <w14:solidFill>
                    <w14:srgbClr w14:val="1F5A85"/>
                  </w14:solidFill>
                </w14:textFill>
              </w:rPr>
              <w:t>Contributor / Member ID</w:t>
            </w:r>
          </w:p>
        </w:tc>
        <w:tc>
          <w:tcPr>
            <w:tcW w:type="dxa" w:w="50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4f7fa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Abanoub</w:t>
            </w:r>
          </w:p>
        </w:tc>
      </w:tr>
      <w:tr>
        <w:tblPrEx>
          <w:shd w:val="clear" w:color="auto" w:fill="ced7e7"/>
        </w:tblPrEx>
        <w:trPr>
          <w:trHeight w:val="230" w:hRule="atLeast"/>
        </w:trPr>
        <w:tc>
          <w:tcPr>
            <w:tcW w:type="dxa" w:w="50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af1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pacing w:after="40" w:line="240" w:lineRule="auto"/>
            </w:pPr>
            <w:r>
              <w:rPr>
                <w:outline w:val="0"/>
                <w:color w:val="324e7f"/>
                <w:rtl w:val="0"/>
                <w:lang w:val="en-US"/>
                <w14:textFill>
                  <w14:solidFill>
                    <w14:srgbClr w14:val="324E7F"/>
                  </w14:solidFill>
                </w14:textFill>
              </w:rPr>
              <w:t>Type of vulnerable</w:t>
            </w:r>
            <w:r>
              <w:rPr>
                <w:b w:val="1"/>
                <w:bCs w:val="1"/>
                <w:outline w:val="0"/>
                <w:color w:val="324e7f"/>
                <w:sz w:val="17"/>
                <w:szCs w:val="17"/>
                <w:u w:color="1f5a85"/>
                <w:rtl w:val="0"/>
                <w:lang w:val="en-US"/>
                <w14:textFill>
                  <w14:solidFill>
                    <w14:srgbClr w14:val="324E7F"/>
                  </w14:solidFill>
                </w14:textFill>
              </w:rPr>
              <w:t xml:space="preserve"> </w:t>
            </w:r>
          </w:p>
        </w:tc>
        <w:tc>
          <w:tcPr>
            <w:tcW w:type="dxa" w:w="50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4f7fa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IDOR (Insecure Direct Object Reference)</w:t>
            </w:r>
          </w:p>
        </w:tc>
      </w:tr>
      <w:tr>
        <w:tblPrEx>
          <w:shd w:val="clear" w:color="auto" w:fill="ced7e7"/>
        </w:tblPrEx>
        <w:trPr>
          <w:trHeight w:val="230" w:hRule="atLeast"/>
        </w:trPr>
        <w:tc>
          <w:tcPr>
            <w:tcW w:type="dxa" w:w="50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af1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pacing w:after="40" w:line="240" w:lineRule="auto"/>
            </w:pPr>
            <w:r>
              <w:rPr>
                <w:rFonts w:ascii="Aptos" w:cs="Aptos" w:hAnsi="Aptos" w:eastAsia="Aptos"/>
                <w:b w:val="1"/>
                <w:bCs w:val="1"/>
                <w:outline w:val="0"/>
                <w:color w:val="1f5a85"/>
                <w:sz w:val="17"/>
                <w:szCs w:val="17"/>
                <w:u w:color="1f5a85"/>
                <w:shd w:val="nil" w:color="auto" w:fill="auto"/>
                <w:rtl w:val="0"/>
                <w:lang w:val="en-US"/>
                <w14:textFill>
                  <w14:solidFill>
                    <w14:srgbClr w14:val="1F5A85"/>
                  </w14:solidFill>
                </w14:textFill>
              </w:rPr>
              <w:t>Week / reporting period</w:t>
            </w:r>
          </w:p>
        </w:tc>
        <w:tc>
          <w:tcPr>
            <w:tcW w:type="dxa" w:w="50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4f7fa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Week 2 / 2026-10-19 to 2026-10-25</w:t>
            </w:r>
          </w:p>
        </w:tc>
      </w:tr>
      <w:tr>
        <w:tblPrEx>
          <w:shd w:val="clear" w:color="auto" w:fill="ced7e7"/>
        </w:tblPrEx>
        <w:trPr>
          <w:trHeight w:val="240" w:hRule="atLeast"/>
        </w:trPr>
        <w:tc>
          <w:tcPr>
            <w:tcW w:type="dxa" w:w="50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af1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pacing w:after="40" w:line="240" w:lineRule="auto"/>
            </w:pPr>
            <w:r>
              <w:rPr>
                <w:rFonts w:ascii="Aptos" w:cs="Aptos" w:hAnsi="Aptos" w:eastAsia="Aptos"/>
                <w:b w:val="1"/>
                <w:bCs w:val="1"/>
                <w:outline w:val="0"/>
                <w:color w:val="1f5a85"/>
                <w:sz w:val="17"/>
                <w:szCs w:val="17"/>
                <w:u w:color="1f5a85"/>
                <w:shd w:val="nil" w:color="auto" w:fill="auto"/>
                <w:rtl w:val="0"/>
                <w:lang w:val="en-US"/>
                <w14:textFill>
                  <w14:solidFill>
                    <w14:srgbClr w14:val="1F5A85"/>
                  </w14:solidFill>
                </w14:textFill>
              </w:rPr>
              <w:t>Target / environment</w:t>
            </w:r>
          </w:p>
        </w:tc>
        <w:tc>
          <w:tcPr>
            <w:tcW w:type="dxa" w:w="50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4f7fa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OWASP Juice Shop v18.x (local Docker instance, http://localhost:3000)</w:t>
            </w:r>
          </w:p>
        </w:tc>
      </w:tr>
    </w:tbl>
    <w:p>
      <w:pPr>
        <w:pStyle w:val="Heading"/>
        <w:widowControl w:val="0"/>
        <w:spacing w:line="240" w:lineRule="auto"/>
        <w:ind w:left="216" w:hanging="216"/>
      </w:pPr>
    </w:p>
    <w:p>
      <w:pPr>
        <w:pStyle w:val="Body A"/>
      </w:pPr>
    </w:p>
    <w:p>
      <w:pPr>
        <w:pStyle w:val="Heading"/>
      </w:pPr>
      <w:r>
        <w:rPr>
          <w:rtl w:val="0"/>
          <w:lang w:val="en-US"/>
        </w:rPr>
        <w:t>2. Objective, Scope &amp; Preconditions</w:t>
      </w:r>
    </w:p>
    <w:p>
      <w:pPr>
        <w:pStyle w:val="Body A"/>
      </w:pPr>
      <w:r>
        <w:t>Testing whether a logged-in customer can access or change another user's data (basket, review, feedback) just by swapping an ID in the request. Scope: /rest/basket/*, /rest/products/*/reviews, /api/Feedbacks/*. Accounts: two standard customer users (A &amp; B), no admin rights.</w:t>
      </w:r>
    </w:p>
    <w:p>
      <w:pPr>
        <w:pStyle w:val="Heading"/>
      </w:pPr>
    </w:p>
    <w:p>
      <w:pPr>
        <w:pStyle w:val="Heading"/>
      </w:pPr>
      <w:r>
        <w:rPr>
          <w:rtl w:val="0"/>
          <w:lang w:val="en-US"/>
        </w:rPr>
        <w:t>3. Test Log</w:t>
      </w:r>
    </w:p>
    <w:tbl>
      <w:tblPr>
        <w:tblW w:w="9853" w:type="dxa"/>
        <w:jc w:val="center"/>
        <w:tblInd w:w="324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970"/>
        <w:gridCol w:w="1971"/>
        <w:gridCol w:w="1971"/>
        <w:gridCol w:w="1971"/>
        <w:gridCol w:w="1970"/>
      </w:tblGrid>
      <w:tr>
        <w:tblPrEx>
          <w:shd w:val="clear" w:color="auto" w:fill="4f81bd"/>
        </w:tblPrEx>
        <w:trPr>
          <w:trHeight w:val="230" w:hRule="atLeast"/>
          <w:tblHeader/>
        </w:trPr>
        <w:tc>
          <w:tcPr>
            <w:tcW w:type="dxa" w:w="197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14243a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pacing w:after="40" w:line="240" w:lineRule="auto"/>
            </w:pPr>
            <w:r>
              <w:rPr>
                <w:rFonts w:ascii="Aptos" w:cs="Aptos" w:hAnsi="Aptos" w:eastAsia="Aptos"/>
                <w:b w:val="1"/>
                <w:bCs w:val="1"/>
                <w:outline w:val="0"/>
                <w:color w:val="ffffff"/>
                <w:sz w:val="16"/>
                <w:szCs w:val="16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Date</w:t>
            </w:r>
          </w:p>
        </w:tc>
        <w:tc>
          <w:tcPr>
            <w:tcW w:type="dxa" w:w="197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14243a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pacing w:after="40" w:line="240" w:lineRule="auto"/>
            </w:pPr>
            <w:r>
              <w:rPr>
                <w:rFonts w:ascii="Aptos" w:cs="Aptos" w:hAnsi="Aptos" w:eastAsia="Aptos"/>
                <w:b w:val="1"/>
                <w:bCs w:val="1"/>
                <w:outline w:val="0"/>
                <w:color w:val="ffffff"/>
                <w:sz w:val="16"/>
                <w:szCs w:val="16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Asset / Endpoint</w:t>
            </w:r>
          </w:p>
        </w:tc>
        <w:tc>
          <w:tcPr>
            <w:tcW w:type="dxa" w:w="197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14243a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pacing w:after="40" w:line="240" w:lineRule="auto"/>
            </w:pPr>
            <w:r>
              <w:rPr>
                <w:rFonts w:ascii="Aptos" w:cs="Aptos" w:hAnsi="Aptos" w:eastAsia="Aptos"/>
                <w:b w:val="1"/>
                <w:bCs w:val="1"/>
                <w:outline w:val="0"/>
                <w:color w:val="ffffff"/>
                <w:sz w:val="16"/>
                <w:szCs w:val="16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Test case</w:t>
            </w:r>
          </w:p>
        </w:tc>
        <w:tc>
          <w:tcPr>
            <w:tcW w:type="dxa" w:w="197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14243a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pacing w:after="40" w:line="240" w:lineRule="auto"/>
            </w:pPr>
            <w:r>
              <w:rPr>
                <w:rFonts w:ascii="Aptos" w:cs="Aptos" w:hAnsi="Aptos" w:eastAsia="Aptos"/>
                <w:b w:val="1"/>
                <w:bCs w:val="1"/>
                <w:outline w:val="0"/>
                <w:color w:val="ffffff"/>
                <w:sz w:val="16"/>
                <w:szCs w:val="16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Outcome</w:t>
            </w:r>
          </w:p>
        </w:tc>
        <w:tc>
          <w:tcPr>
            <w:tcW w:type="dxa" w:w="197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14243a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pacing w:after="40" w:line="240" w:lineRule="auto"/>
            </w:pPr>
            <w:r>
              <w:rPr>
                <w:rFonts w:ascii="Aptos" w:cs="Aptos" w:hAnsi="Aptos" w:eastAsia="Aptos"/>
                <w:b w:val="1"/>
                <w:bCs w:val="1"/>
                <w:outline w:val="0"/>
                <w:color w:val="ffffff"/>
                <w:sz w:val="16"/>
                <w:szCs w:val="16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Evidence ID</w:t>
            </w:r>
          </w:p>
        </w:tc>
      </w:tr>
      <w:tr>
        <w:tblPrEx>
          <w:shd w:val="clear" w:color="auto" w:fill="ced7e7"/>
        </w:tblPrEx>
        <w:trPr>
          <w:trHeight w:val="230" w:hRule="atLeast"/>
        </w:trPr>
        <w:tc>
          <w:tcPr>
            <w:tcW w:type="dxa" w:w="197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4f7fa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2026-10-19</w:t>
            </w:r>
          </w:p>
        </w:tc>
        <w:tc>
          <w:tcPr>
            <w:tcW w:type="dxa" w:w="197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4f7fa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GET /rest/basket/{id}</w:t>
            </w:r>
          </w:p>
        </w:tc>
        <w:tc>
          <w:tcPr>
            <w:tcW w:type="dxa" w:w="197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4f7fa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Requested User B's basket while logged in as User A</w:t>
            </w:r>
          </w:p>
        </w:tc>
        <w:tc>
          <w:tcPr>
            <w:tcW w:type="dxa" w:w="197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4f7fa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Basket returned — IDOR confirmed</w:t>
            </w:r>
          </w:p>
        </w:tc>
        <w:tc>
          <w:tcPr>
            <w:tcW w:type="dxa" w:w="197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4f7fa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EV-01</w:t>
            </w:r>
          </w:p>
        </w:tc>
      </w:tr>
      <w:tr>
        <w:tblPrEx>
          <w:shd w:val="clear" w:color="auto" w:fill="ced7e7"/>
        </w:tblPrEx>
        <w:trPr>
          <w:trHeight w:val="230" w:hRule="atLeast"/>
        </w:trPr>
        <w:tc>
          <w:tcPr>
            <w:tcW w:type="dxa" w:w="197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4f7fa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2026-10-21</w:t>
            </w:r>
          </w:p>
        </w:tc>
        <w:tc>
          <w:tcPr>
            <w:tcW w:type="dxa" w:w="197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4f7fa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PUT /rest/products/{id}/reviews</w:t>
            </w:r>
          </w:p>
        </w:tc>
        <w:tc>
          <w:tcPr>
            <w:tcW w:type="dxa" w:w="197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4f7fa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Edited User B's review while logged in as User A</w:t>
            </w:r>
          </w:p>
        </w:tc>
        <w:tc>
          <w:tcPr>
            <w:tcW w:type="dxa" w:w="197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4f7fa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Review changed — IDOR confirmed</w:t>
            </w:r>
          </w:p>
        </w:tc>
        <w:tc>
          <w:tcPr>
            <w:tcW w:type="dxa" w:w="197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4f7fa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EV-02</w:t>
            </w:r>
          </w:p>
        </w:tc>
      </w:tr>
      <w:tr>
        <w:tblPrEx>
          <w:shd w:val="clear" w:color="auto" w:fill="ced7e7"/>
        </w:tblPrEx>
        <w:trPr>
          <w:trHeight w:val="230" w:hRule="atLeast"/>
        </w:trPr>
        <w:tc>
          <w:tcPr>
            <w:tcW w:type="dxa" w:w="197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4f7fa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2026-10-23</w:t>
            </w:r>
          </w:p>
        </w:tc>
        <w:tc>
          <w:tcPr>
            <w:tcW w:type="dxa" w:w="197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4f7fa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DELETE /api/Feedbacks/{id}</w:t>
            </w:r>
          </w:p>
        </w:tc>
        <w:tc>
          <w:tcPr>
            <w:tcW w:type="dxa" w:w="197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4f7fa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Deleted User B's feedback while logged in as User A</w:t>
            </w:r>
          </w:p>
        </w:tc>
        <w:tc>
          <w:tcPr>
            <w:tcW w:type="dxa" w:w="197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4f7fa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Feedback deleted — IDOR confirmed</w:t>
            </w:r>
          </w:p>
        </w:tc>
        <w:tc>
          <w:tcPr>
            <w:tcW w:type="dxa" w:w="197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4f7fa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EV-03</w:t>
            </w:r>
          </w:p>
        </w:tc>
      </w:tr>
    </w:tbl>
    <w:p>
      <w:pPr>
        <w:pStyle w:val="Heading"/>
        <w:widowControl w:val="0"/>
        <w:spacing w:line="240" w:lineRule="auto"/>
        <w:ind w:left="216" w:hanging="216"/>
        <w:jc w:val="center"/>
      </w:pPr>
    </w:p>
    <w:p>
      <w:pPr>
        <w:pStyle w:val="Body A"/>
      </w:pPr>
    </w:p>
    <w:p>
      <w:pPr>
        <w:pStyle w:val="Heading"/>
      </w:pPr>
    </w:p>
    <w:p>
      <w:pPr>
        <w:pStyle w:val="Heading"/>
      </w:pPr>
      <w:r>
        <w:rPr>
          <w:rtl w:val="0"/>
          <w:lang w:val="en-US"/>
        </w:rPr>
        <w:t>4. Finding Record (duplicate this section for each suspected/confirmed finding)</w:t>
      </w:r>
    </w:p>
    <w:tbl>
      <w:tblPr>
        <w:tblW w:w="10080" w:type="dxa"/>
        <w:jc w:val="left"/>
        <w:tblInd w:w="324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5040"/>
        <w:gridCol w:w="5040"/>
      </w:tblGrid>
      <w:tr>
        <w:tblPrEx>
          <w:shd w:val="clear" w:color="auto" w:fill="ced7e7"/>
        </w:tblPrEx>
        <w:trPr>
          <w:trHeight w:val="230" w:hRule="atLeast"/>
        </w:trPr>
        <w:tc>
          <w:tcPr>
            <w:tcW w:type="dxa" w:w="50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af1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pacing w:after="40"/>
            </w:pPr>
            <w:r>
              <w:rPr>
                <w:rFonts w:ascii="Aptos" w:cs="Aptos" w:hAnsi="Aptos" w:eastAsia="Aptos"/>
                <w:b w:val="1"/>
                <w:bCs w:val="1"/>
                <w:outline w:val="0"/>
                <w:color w:val="1f5a85"/>
                <w:sz w:val="17"/>
                <w:szCs w:val="17"/>
                <w:u w:color="1f5a85"/>
                <w:shd w:val="nil" w:color="auto" w:fill="auto"/>
                <w:rtl w:val="0"/>
                <w:lang w:val="en-US"/>
                <w14:textFill>
                  <w14:solidFill>
                    <w14:srgbClr w14:val="1F5A85"/>
                  </w14:solidFill>
                </w14:textFill>
              </w:rPr>
              <w:t>Finding ID / Title</w:t>
            </w:r>
          </w:p>
        </w:tc>
        <w:tc>
          <w:tcPr>
            <w:tcW w:type="dxa" w:w="50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4f7fa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IDOR-01 — Unauthorized Access to Another User's Shopping Basket</w:t>
            </w:r>
          </w:p>
        </w:tc>
      </w:tr>
      <w:tr>
        <w:tblPrEx>
          <w:shd w:val="clear" w:color="auto" w:fill="ced7e7"/>
        </w:tblPrEx>
        <w:trPr>
          <w:trHeight w:val="230" w:hRule="atLeast"/>
        </w:trPr>
        <w:tc>
          <w:tcPr>
            <w:tcW w:type="dxa" w:w="50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af1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pacing w:after="40" w:line="240" w:lineRule="auto"/>
            </w:pPr>
            <w:r>
              <w:rPr>
                <w:rFonts w:ascii="Aptos" w:cs="Aptos" w:hAnsi="Aptos" w:eastAsia="Aptos"/>
                <w:b w:val="1"/>
                <w:bCs w:val="1"/>
                <w:outline w:val="0"/>
                <w:color w:val="1f5a85"/>
                <w:sz w:val="17"/>
                <w:szCs w:val="17"/>
                <w:u w:color="1f5a85"/>
                <w:shd w:val="nil" w:color="auto" w:fill="auto"/>
                <w:rtl w:val="0"/>
                <w:lang w:val="en-US"/>
                <w14:textFill>
                  <w14:solidFill>
                    <w14:srgbClr w14:val="1F5A85"/>
                  </w14:solidFill>
                </w14:textFill>
              </w:rPr>
              <w:t>Affected asset</w:t>
            </w:r>
          </w:p>
        </w:tc>
        <w:tc>
          <w:tcPr>
            <w:tcW w:type="dxa" w:w="50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4f7fa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GET /rest/basket/{id} (Basket API)</w:t>
            </w:r>
          </w:p>
        </w:tc>
      </w:tr>
      <w:tr>
        <w:tblPrEx>
          <w:shd w:val="clear" w:color="auto" w:fill="ced7e7"/>
        </w:tblPrEx>
        <w:trPr>
          <w:trHeight w:val="230" w:hRule="atLeast"/>
        </w:trPr>
        <w:tc>
          <w:tcPr>
            <w:tcW w:type="dxa" w:w="50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af1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pacing w:after="40" w:line="240" w:lineRule="auto"/>
            </w:pPr>
            <w:r>
              <w:rPr>
                <w:rFonts w:ascii="Aptos" w:cs="Aptos" w:hAnsi="Aptos" w:eastAsia="Aptos"/>
                <w:b w:val="1"/>
                <w:bCs w:val="1"/>
                <w:outline w:val="0"/>
                <w:color w:val="1f5a85"/>
                <w:sz w:val="17"/>
                <w:szCs w:val="17"/>
                <w:u w:color="1f5a85"/>
                <w:shd w:val="nil" w:color="auto" w:fill="auto"/>
                <w:rtl w:val="0"/>
                <w:lang w:val="en-US"/>
                <w14:textFill>
                  <w14:solidFill>
                    <w14:srgbClr w14:val="1F5A85"/>
                  </w14:solidFill>
                </w14:textFill>
              </w:rPr>
              <w:t>Method / account role</w:t>
            </w:r>
          </w:p>
        </w:tc>
        <w:tc>
          <w:tcPr>
            <w:tcW w:type="dxa" w:w="50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4f7fa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Authenticated low-privilege customer account (User A); no elevated role required</w:t>
            </w:r>
          </w:p>
        </w:tc>
      </w:tr>
      <w:tr>
        <w:tblPrEx>
          <w:shd w:val="clear" w:color="auto" w:fill="ced7e7"/>
        </w:tblPrEx>
        <w:trPr>
          <w:trHeight w:val="230" w:hRule="atLeast"/>
        </w:trPr>
        <w:tc>
          <w:tcPr>
            <w:tcW w:type="dxa" w:w="50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af1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pacing w:after="40" w:line="240" w:lineRule="auto"/>
            </w:pPr>
            <w:r>
              <w:rPr>
                <w:rFonts w:ascii="Aptos" w:cs="Aptos" w:hAnsi="Aptos" w:eastAsia="Aptos"/>
                <w:b w:val="1"/>
                <w:bCs w:val="1"/>
                <w:outline w:val="0"/>
                <w:color w:val="1f5a85"/>
                <w:sz w:val="17"/>
                <w:szCs w:val="17"/>
                <w:u w:color="1f5a85"/>
                <w:shd w:val="nil" w:color="auto" w:fill="auto"/>
                <w:rtl w:val="0"/>
                <w:lang w:val="en-US"/>
                <w14:textFill>
                  <w14:solidFill>
                    <w14:srgbClr w14:val="1F5A85"/>
                  </w14:solidFill>
                </w14:textFill>
              </w:rPr>
              <w:t>Severity / CVSS</w:t>
            </w:r>
          </w:p>
        </w:tc>
        <w:tc>
          <w:tcPr>
            <w:tcW w:type="dxa" w:w="50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4f7fa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High — CVSS 3.1 6.5 (AV:N/AC:L/PR:L/UI:N/S:U/C:H/I:N/A:N)</w:t>
            </w:r>
          </w:p>
        </w:tc>
      </w:tr>
    </w:tbl>
    <w:p>
      <w:pPr>
        <w:pStyle w:val="Heading"/>
        <w:widowControl w:val="0"/>
        <w:spacing w:line="240" w:lineRule="auto"/>
        <w:ind w:left="216" w:hanging="216"/>
      </w:pPr>
    </w:p>
    <w:p>
      <w:pPr>
        <w:pStyle w:val="Heading 2"/>
      </w:pPr>
      <w:r>
        <w:rPr>
          <w:rtl w:val="0"/>
          <w:lang w:val="en-US"/>
        </w:rPr>
        <w:t>4.1 Summary</w:t>
      </w:r>
    </w:p>
    <w:p>
      <w:pPr>
        <w:pStyle w:val="Body A"/>
      </w:pPr>
      <w:r>
        <w:t>GET /rest/basket/{id} returns any basket's contents with no ownership check, so one user can view another user's basket by changing the ID.</w:t>
      </w:r>
    </w:p>
    <w:p>
      <w:pPr>
        <w:pStyle w:val="Heading 2"/>
      </w:pPr>
      <w:r>
        <w:rPr>
          <w:rtl w:val="0"/>
          <w:lang w:val="en-US"/>
        </w:rPr>
        <w:t>4.2 Preconditions</w:t>
      </w:r>
    </w:p>
    <w:p>
      <w:pPr>
        <w:pStyle w:val="Body A"/>
      </w:pPr>
      <w:r>
        <w:t>Valid session for any user; basket IDs are sequential and easy to guess.</w:t>
      </w:r>
    </w:p>
    <w:p>
      <w:pPr>
        <w:pStyle w:val="Heading 2"/>
      </w:pPr>
      <w:r>
        <w:rPr>
          <w:rtl w:val="0"/>
          <w:lang w:val="en-US"/>
        </w:rPr>
        <w:t>4.3 Reproduction Steps</w:t>
      </w:r>
    </w:p>
    <w:p>
      <w:pPr>
        <w:pStyle w:val="Body A"/>
      </w:pPr>
      <w:r>
        <w:t>1. Log in as User A, confirm own basket works (ID 4).</w:t>
        <w:br/>
        <w:t>2. Send GET /rest/basket/5 (User B's ID) with User A's token.</w:t>
        <w:br/>
        <w:t>3. Response returns User B's basket (HTTP 200).</w:t>
      </w:r>
    </w:p>
    <w:p>
      <w:pPr>
        <w:pStyle w:val="Heading 2"/>
      </w:pPr>
      <w:r>
        <w:rPr>
          <w:rtl w:val="0"/>
          <w:lang w:val="en-US"/>
        </w:rPr>
        <w:t>4.</w:t>
      </w:r>
      <w:r>
        <w:rPr>
          <w:rtl w:val="0"/>
          <w:lang w:val="en-US"/>
        </w:rPr>
        <w:t>4</w:t>
      </w:r>
      <w:r>
        <w:rPr>
          <w:rtl w:val="0"/>
          <w:lang w:val="en-US"/>
        </w:rPr>
        <w:t xml:space="preserve"> Expected vs. Actual Result</w:t>
      </w:r>
    </w:p>
    <w:p>
      <w:pPr>
        <w:pStyle w:val="Body A"/>
      </w:pPr>
      <w:r>
        <w:t>Expected: HTTP 401/403 for a basket you don't own.</w:t>
        <w:br/>
        <w:t>Actual: HTTP 200 — full basket returned.</w:t>
      </w:r>
    </w:p>
    <w:p>
      <w:pPr>
        <w:pStyle w:val="Heading 2"/>
      </w:pPr>
      <w:r>
        <w:rPr>
          <w:rtl w:val="0"/>
          <w:lang w:val="en-US"/>
        </w:rPr>
        <w:t>4.</w:t>
      </w:r>
      <w:r>
        <w:rPr>
          <w:rtl w:val="0"/>
          <w:lang w:val="en-US"/>
        </w:rPr>
        <w:t>5</w:t>
      </w:r>
      <w:r>
        <w:rPr>
          <w:rtl w:val="0"/>
          <w:lang w:val="en-US"/>
        </w:rPr>
        <w:t xml:space="preserve"> Impact &amp; Limitations</w:t>
      </w:r>
    </w:p>
    <w:p>
      <w:pPr>
        <w:pStyle w:val="Body A"/>
      </w:pPr>
      <w:r>
        <w:t>Confirmed read-level IDOR; basket IDs can be enumerated to view other users' baskets. Only GET was tested.</w:t>
      </w:r>
    </w:p>
    <w:p>
      <w:pPr>
        <w:pStyle w:val="Heading 2"/>
      </w:pPr>
      <w:r>
        <w:rPr>
          <w:rtl w:val="0"/>
          <w:lang w:val="en-US"/>
        </w:rPr>
        <w:t>4.</w:t>
      </w:r>
      <w:r>
        <w:rPr>
          <w:rtl w:val="0"/>
          <w:lang w:val="en-US"/>
        </w:rPr>
        <w:t>6</w:t>
      </w:r>
      <w:r>
        <w:rPr>
          <w:rtl w:val="0"/>
          <w:lang w:val="en-US"/>
        </w:rPr>
        <w:t xml:space="preserve"> Remediation Recommendation</w:t>
      </w:r>
    </w:p>
    <w:p>
      <w:pPr>
        <w:pStyle w:val="Body A"/>
      </w:pPr>
      <w:r>
        <w:t>Verify basket's userId matches the session before returning data; use non-sequential IDs (UUIDs) as defense in depth.</w:t>
      </w:r>
    </w:p>
    <w:tbl>
      <w:tblPr>
        <w:tblW w:w="10080" w:type="dxa"/>
        <w:jc w:val="left"/>
        <w:tblInd w:w="324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5040"/>
        <w:gridCol w:w="5040"/>
      </w:tblGrid>
      <w:tr>
        <w:tblPrEx>
          <w:shd w:val="clear" w:color="auto" w:fill="ced7e7"/>
        </w:tblPrEx>
        <w:trPr>
          <w:trHeight w:val="230" w:hRule="atLeast"/>
        </w:trPr>
        <w:tc>
          <w:tcPr>
            <w:tcW w:type="dxa" w:w="50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af1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pacing w:after="40"/>
            </w:pPr>
            <w:r>
              <w:rPr>
                <w:rFonts w:ascii="Aptos" w:cs="Aptos" w:hAnsi="Aptos" w:eastAsia="Aptos"/>
                <w:b w:val="1"/>
                <w:bCs w:val="1"/>
                <w:outline w:val="0"/>
                <w:color w:val="1f5a85"/>
                <w:sz w:val="17"/>
                <w:szCs w:val="17"/>
                <w:u w:color="1f5a85"/>
                <w:shd w:val="nil" w:color="auto" w:fill="auto"/>
                <w:rtl w:val="0"/>
                <w:lang w:val="en-US"/>
                <w14:textFill>
                  <w14:solidFill>
                    <w14:srgbClr w14:val="1F5A85"/>
                  </w14:solidFill>
                </w14:textFill>
              </w:rPr>
              <w:t>Finding ID / Title</w:t>
            </w:r>
          </w:p>
        </w:tc>
        <w:tc>
          <w:tcPr>
            <w:tcW w:type="dxa" w:w="50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4f7fa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IDOR-02 — Forged Product Review (Edit Another User's Review)</w:t>
            </w:r>
          </w:p>
        </w:tc>
      </w:tr>
      <w:tr>
        <w:tblPrEx>
          <w:shd w:val="clear" w:color="auto" w:fill="ced7e7"/>
        </w:tblPrEx>
        <w:trPr>
          <w:trHeight w:val="230" w:hRule="atLeast"/>
        </w:trPr>
        <w:tc>
          <w:tcPr>
            <w:tcW w:type="dxa" w:w="50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af1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pacing w:after="40" w:line="240" w:lineRule="auto"/>
            </w:pPr>
            <w:r>
              <w:rPr>
                <w:rFonts w:ascii="Aptos" w:cs="Aptos" w:hAnsi="Aptos" w:eastAsia="Aptos"/>
                <w:b w:val="1"/>
                <w:bCs w:val="1"/>
                <w:outline w:val="0"/>
                <w:color w:val="1f5a85"/>
                <w:sz w:val="17"/>
                <w:szCs w:val="17"/>
                <w:u w:color="1f5a85"/>
                <w:shd w:val="nil" w:color="auto" w:fill="auto"/>
                <w:rtl w:val="0"/>
                <w:lang w:val="en-US"/>
                <w14:textFill>
                  <w14:solidFill>
                    <w14:srgbClr w14:val="1F5A85"/>
                  </w14:solidFill>
                </w14:textFill>
              </w:rPr>
              <w:t>Affected asset</w:t>
            </w:r>
          </w:p>
        </w:tc>
        <w:tc>
          <w:tcPr>
            <w:tcW w:type="dxa" w:w="50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4f7fa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PUT /rest/products/{id}/reviews</w:t>
            </w:r>
          </w:p>
        </w:tc>
      </w:tr>
      <w:tr>
        <w:tblPrEx>
          <w:shd w:val="clear" w:color="auto" w:fill="ced7e7"/>
        </w:tblPrEx>
        <w:trPr>
          <w:trHeight w:val="230" w:hRule="atLeast"/>
        </w:trPr>
        <w:tc>
          <w:tcPr>
            <w:tcW w:type="dxa" w:w="50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af1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pacing w:after="40" w:line="240" w:lineRule="auto"/>
            </w:pPr>
            <w:r>
              <w:rPr>
                <w:rFonts w:ascii="Aptos" w:cs="Aptos" w:hAnsi="Aptos" w:eastAsia="Aptos"/>
                <w:b w:val="1"/>
                <w:bCs w:val="1"/>
                <w:outline w:val="0"/>
                <w:color w:val="1f5a85"/>
                <w:sz w:val="17"/>
                <w:szCs w:val="17"/>
                <w:u w:color="1f5a85"/>
                <w:shd w:val="nil" w:color="auto" w:fill="auto"/>
                <w:rtl w:val="0"/>
                <w:lang w:val="en-US"/>
                <w14:textFill>
                  <w14:solidFill>
                    <w14:srgbClr w14:val="1F5A85"/>
                  </w14:solidFill>
                </w14:textFill>
              </w:rPr>
              <w:t>Method / account role</w:t>
            </w:r>
          </w:p>
        </w:tc>
        <w:tc>
          <w:tcPr>
            <w:tcW w:type="dxa" w:w="50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4f7fa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Authenticated low-privilege customer account (User A)</w:t>
            </w:r>
          </w:p>
        </w:tc>
      </w:tr>
      <w:tr>
        <w:tblPrEx>
          <w:shd w:val="clear" w:color="auto" w:fill="ced7e7"/>
        </w:tblPrEx>
        <w:trPr>
          <w:trHeight w:val="230" w:hRule="atLeast"/>
        </w:trPr>
        <w:tc>
          <w:tcPr>
            <w:tcW w:type="dxa" w:w="50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af1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pacing w:after="40" w:line="240" w:lineRule="auto"/>
            </w:pPr>
            <w:r>
              <w:rPr>
                <w:rFonts w:ascii="Aptos" w:cs="Aptos" w:hAnsi="Aptos" w:eastAsia="Aptos"/>
                <w:b w:val="1"/>
                <w:bCs w:val="1"/>
                <w:outline w:val="0"/>
                <w:color w:val="1f5a85"/>
                <w:sz w:val="17"/>
                <w:szCs w:val="17"/>
                <w:u w:color="1f5a85"/>
                <w:shd w:val="nil" w:color="auto" w:fill="auto"/>
                <w:rtl w:val="0"/>
                <w:lang w:val="en-US"/>
                <w14:textFill>
                  <w14:solidFill>
                    <w14:srgbClr w14:val="1F5A85"/>
                  </w14:solidFill>
                </w14:textFill>
              </w:rPr>
              <w:t>Severity / CVSS</w:t>
            </w:r>
          </w:p>
        </w:tc>
        <w:tc>
          <w:tcPr>
            <w:tcW w:type="dxa" w:w="50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4f7fa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Medium — CVSS 3.1 5.4 (AV:N/AC:L/PR:L/UI:N/S:U/C:N/I:H/A:N)</w:t>
            </w:r>
          </w:p>
        </w:tc>
      </w:tr>
    </w:tbl>
    <w:p>
      <w:pPr>
        <w:pStyle w:val="Heading"/>
        <w:widowControl w:val="0"/>
        <w:spacing w:line="240" w:lineRule="auto"/>
        <w:ind w:left="216" w:hanging="216"/>
      </w:pPr>
    </w:p>
    <w:p>
      <w:pPr>
        <w:pStyle w:val="Heading 2"/>
      </w:pPr>
      <w:r>
        <w:rPr>
          <w:rtl w:val="0"/>
          <w:lang w:val="en-US"/>
        </w:rPr>
        <w:t>4.1 Summary</w:t>
      </w:r>
    </w:p>
    <w:p>
      <w:pPr>
        <w:pStyle w:val="Body A"/>
      </w:pPr>
      <w:r>
        <w:t>PUT /rest/products/{id}/reviews doesn't check the review's owner, so any user can edit another user's review.</w:t>
      </w:r>
    </w:p>
    <w:p>
      <w:pPr>
        <w:pStyle w:val="Heading 2"/>
      </w:pPr>
      <w:r>
        <w:rPr>
          <w:rtl w:val="0"/>
          <w:lang w:val="en-US"/>
        </w:rPr>
        <w:t>4.2 Preconditions</w:t>
      </w:r>
    </w:p>
    <w:p>
      <w:pPr>
        <w:pStyle w:val="Body A"/>
      </w:pPr>
      <w:r>
        <w:t>Valid session for any user; review id is visible in the product page's API responses.</w:t>
      </w:r>
    </w:p>
    <w:p>
      <w:pPr>
        <w:pStyle w:val="Heading 2"/>
      </w:pPr>
      <w:r>
        <w:rPr>
          <w:rtl w:val="0"/>
          <w:lang w:val="en-US"/>
        </w:rPr>
        <w:t>4.3 Reproduction Steps</w:t>
      </w:r>
    </w:p>
    <w:p>
      <w:pPr>
        <w:pStyle w:val="Body A"/>
      </w:pPr>
      <w:r>
        <w:t>1. As User B, post a review and note its id.</w:t>
        <w:br/>
        <w:t>2. As User A, send PUT with User B's review id and new text.</w:t>
        <w:br/>
        <w:t>3. Review is updated, still shown as User B's.</w:t>
      </w:r>
    </w:p>
    <w:p>
      <w:pPr>
        <w:pStyle w:val="Heading 2"/>
      </w:pPr>
      <w:r>
        <w:rPr>
          <w:rtl w:val="0"/>
          <w:lang w:val="en-US"/>
        </w:rPr>
        <w:t>4.</w:t>
      </w:r>
      <w:r>
        <w:rPr>
          <w:rtl w:val="0"/>
          <w:lang w:val="en-US"/>
        </w:rPr>
        <w:t>4</w:t>
      </w:r>
      <w:r>
        <w:rPr>
          <w:rtl w:val="0"/>
          <w:lang w:val="en-US"/>
        </w:rPr>
        <w:t xml:space="preserve"> Expected vs. Actual Result</w:t>
      </w:r>
    </w:p>
    <w:p>
      <w:pPr>
        <w:pStyle w:val="Body A"/>
      </w:pPr>
      <w:r>
        <w:t>Expected: HTTP 403 — not the review's author.</w:t>
        <w:br/>
        <w:t>Actual: HTTP 200 — review content overwritten.</w:t>
      </w:r>
    </w:p>
    <w:p>
      <w:pPr>
        <w:pStyle w:val="Heading 2"/>
      </w:pPr>
      <w:r>
        <w:rPr>
          <w:rtl w:val="0"/>
          <w:lang w:val="en-US"/>
        </w:rPr>
        <w:t>4.</w:t>
      </w:r>
      <w:r>
        <w:rPr>
          <w:rtl w:val="0"/>
          <w:lang w:val="en-US"/>
        </w:rPr>
        <w:t>5</w:t>
      </w:r>
      <w:r>
        <w:rPr>
          <w:rtl w:val="0"/>
          <w:lang w:val="en-US"/>
        </w:rPr>
        <w:t xml:space="preserve"> Impact &amp; Limitations</w:t>
      </w:r>
    </w:p>
    <w:p>
      <w:pPr>
        <w:pStyle w:val="Body A"/>
      </w:pPr>
      <w:r>
        <w:t>Confirmed write-level IDOR; other users' reviews can be defaced or altered.</w:t>
      </w:r>
    </w:p>
    <w:p>
      <w:pPr>
        <w:pStyle w:val="Heading 2"/>
      </w:pPr>
      <w:r>
        <w:rPr>
          <w:rtl w:val="0"/>
          <w:lang w:val="en-US"/>
        </w:rPr>
        <w:t>4.</w:t>
      </w:r>
      <w:r>
        <w:rPr>
          <w:rtl w:val="0"/>
          <w:lang w:val="en-US"/>
        </w:rPr>
        <w:t>6</w:t>
      </w:r>
      <w:r>
        <w:rPr>
          <w:rtl w:val="0"/>
          <w:lang w:val="en-US"/>
        </w:rPr>
        <w:t xml:space="preserve"> Remediation Recommendation</w:t>
      </w:r>
    </w:p>
    <w:p>
      <w:pPr>
        <w:pStyle w:val="Body A"/>
      </w:pPr>
      <w:r>
        <w:t>Check review.userId === session.userId before allowing an update; reject otherwise with 403.</w:t>
      </w:r>
    </w:p>
    <w:tbl>
      <w:tblPr>
        <w:tblW w:w="10080" w:type="dxa"/>
        <w:jc w:val="left"/>
        <w:tblInd w:w="324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5040"/>
        <w:gridCol w:w="5040"/>
      </w:tblGrid>
      <w:tr>
        <w:tblPrEx>
          <w:shd w:val="clear" w:color="auto" w:fill="ced7e7"/>
        </w:tblPrEx>
        <w:trPr>
          <w:trHeight w:val="230" w:hRule="atLeast"/>
        </w:trPr>
        <w:tc>
          <w:tcPr>
            <w:tcW w:type="dxa" w:w="50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af1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pacing w:after="40"/>
            </w:pPr>
            <w:r>
              <w:rPr>
                <w:rFonts w:ascii="Aptos" w:cs="Aptos" w:hAnsi="Aptos" w:eastAsia="Aptos"/>
                <w:b w:val="1"/>
                <w:bCs w:val="1"/>
                <w:outline w:val="0"/>
                <w:color w:val="1f5a85"/>
                <w:sz w:val="17"/>
                <w:szCs w:val="17"/>
                <w:u w:color="1f5a85"/>
                <w:shd w:val="nil" w:color="auto" w:fill="auto"/>
                <w:rtl w:val="0"/>
                <w:lang w:val="en-US"/>
                <w14:textFill>
                  <w14:solidFill>
                    <w14:srgbClr w14:val="1F5A85"/>
                  </w14:solidFill>
                </w14:textFill>
              </w:rPr>
              <w:t>Finding ID / Title</w:t>
            </w:r>
          </w:p>
        </w:tc>
        <w:tc>
          <w:tcPr>
            <w:tcW w:type="dxa" w:w="50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4f7fa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IDOR-03 — Unauthorized Deletion of Another User's Feedback</w:t>
            </w:r>
          </w:p>
        </w:tc>
      </w:tr>
      <w:tr>
        <w:tblPrEx>
          <w:shd w:val="clear" w:color="auto" w:fill="ced7e7"/>
        </w:tblPrEx>
        <w:trPr>
          <w:trHeight w:val="230" w:hRule="atLeast"/>
        </w:trPr>
        <w:tc>
          <w:tcPr>
            <w:tcW w:type="dxa" w:w="50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af1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pacing w:after="40" w:line="240" w:lineRule="auto"/>
            </w:pPr>
            <w:r>
              <w:rPr>
                <w:rFonts w:ascii="Aptos" w:cs="Aptos" w:hAnsi="Aptos" w:eastAsia="Aptos"/>
                <w:b w:val="1"/>
                <w:bCs w:val="1"/>
                <w:outline w:val="0"/>
                <w:color w:val="1f5a85"/>
                <w:sz w:val="17"/>
                <w:szCs w:val="17"/>
                <w:u w:color="1f5a85"/>
                <w:shd w:val="nil" w:color="auto" w:fill="auto"/>
                <w:rtl w:val="0"/>
                <w:lang w:val="en-US"/>
                <w14:textFill>
                  <w14:solidFill>
                    <w14:srgbClr w14:val="1F5A85"/>
                  </w14:solidFill>
                </w14:textFill>
              </w:rPr>
              <w:t>Affected asset</w:t>
            </w:r>
          </w:p>
        </w:tc>
        <w:tc>
          <w:tcPr>
            <w:tcW w:type="dxa" w:w="50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4f7fa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DELETE /api/Feedbacks/{id}</w:t>
            </w:r>
          </w:p>
        </w:tc>
      </w:tr>
      <w:tr>
        <w:tblPrEx>
          <w:shd w:val="clear" w:color="auto" w:fill="ced7e7"/>
        </w:tblPrEx>
        <w:trPr>
          <w:trHeight w:val="230" w:hRule="atLeast"/>
        </w:trPr>
        <w:tc>
          <w:tcPr>
            <w:tcW w:type="dxa" w:w="50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af1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pacing w:after="40" w:line="240" w:lineRule="auto"/>
            </w:pPr>
            <w:r>
              <w:rPr>
                <w:rFonts w:ascii="Aptos" w:cs="Aptos" w:hAnsi="Aptos" w:eastAsia="Aptos"/>
                <w:b w:val="1"/>
                <w:bCs w:val="1"/>
                <w:outline w:val="0"/>
                <w:color w:val="1f5a85"/>
                <w:sz w:val="17"/>
                <w:szCs w:val="17"/>
                <w:u w:color="1f5a85"/>
                <w:shd w:val="nil" w:color="auto" w:fill="auto"/>
                <w:rtl w:val="0"/>
                <w:lang w:val="en-US"/>
                <w14:textFill>
                  <w14:solidFill>
                    <w14:srgbClr w14:val="1F5A85"/>
                  </w14:solidFill>
                </w14:textFill>
              </w:rPr>
              <w:t>Method / account role</w:t>
            </w:r>
          </w:p>
        </w:tc>
        <w:tc>
          <w:tcPr>
            <w:tcW w:type="dxa" w:w="50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4f7fa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Authenticated low-privilege customer account (User A); no admin role</w:t>
            </w:r>
          </w:p>
        </w:tc>
      </w:tr>
      <w:tr>
        <w:tblPrEx>
          <w:shd w:val="clear" w:color="auto" w:fill="ced7e7"/>
        </w:tblPrEx>
        <w:trPr>
          <w:trHeight w:val="230" w:hRule="atLeast"/>
        </w:trPr>
        <w:tc>
          <w:tcPr>
            <w:tcW w:type="dxa" w:w="50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af1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pacing w:after="40" w:line="240" w:lineRule="auto"/>
            </w:pPr>
            <w:r>
              <w:rPr>
                <w:rFonts w:ascii="Aptos" w:cs="Aptos" w:hAnsi="Aptos" w:eastAsia="Aptos"/>
                <w:b w:val="1"/>
                <w:bCs w:val="1"/>
                <w:outline w:val="0"/>
                <w:color w:val="1f5a85"/>
                <w:sz w:val="17"/>
                <w:szCs w:val="17"/>
                <w:u w:color="1f5a85"/>
                <w:shd w:val="nil" w:color="auto" w:fill="auto"/>
                <w:rtl w:val="0"/>
                <w:lang w:val="en-US"/>
                <w14:textFill>
                  <w14:solidFill>
                    <w14:srgbClr w14:val="1F5A85"/>
                  </w14:solidFill>
                </w14:textFill>
              </w:rPr>
              <w:t>Severity / CVSS</w:t>
            </w:r>
          </w:p>
        </w:tc>
        <w:tc>
          <w:tcPr>
            <w:tcW w:type="dxa" w:w="50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4f7fa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High — CVSS 3.1 6.5 (AV:N/AC:L/PR:L/UI:N/S:U/C:N/I:N/A:H)</w:t>
            </w:r>
          </w:p>
        </w:tc>
      </w:tr>
    </w:tbl>
    <w:p>
      <w:pPr>
        <w:pStyle w:val="Heading"/>
        <w:widowControl w:val="0"/>
        <w:spacing w:line="240" w:lineRule="auto"/>
        <w:ind w:left="216" w:hanging="216"/>
      </w:pPr>
    </w:p>
    <w:p>
      <w:pPr>
        <w:pStyle w:val="Heading 2"/>
      </w:pPr>
      <w:r>
        <w:rPr>
          <w:rtl w:val="0"/>
          <w:lang w:val="en-US"/>
        </w:rPr>
        <w:t>4.1 Summary</w:t>
      </w:r>
    </w:p>
    <w:p>
      <w:pPr>
        <w:pStyle w:val="Body A"/>
      </w:pPr>
      <w:r>
        <w:t>DELETE /api/Feedbacks/{id} doesn't check ownership or admin role, so any user can delete another user's feedback.</w:t>
      </w:r>
    </w:p>
    <w:p>
      <w:pPr>
        <w:pStyle w:val="Heading 2"/>
      </w:pPr>
      <w:r>
        <w:rPr>
          <w:rtl w:val="0"/>
          <w:lang w:val="en-US"/>
        </w:rPr>
        <w:t>4.2 Preconditions</w:t>
      </w:r>
    </w:p>
    <w:p>
      <w:pPr>
        <w:pStyle w:val="Body A"/>
      </w:pPr>
      <w:r>
        <w:t>Valid session for any user; feedback id is visible via GET /api/Feedbacks.</w:t>
      </w:r>
    </w:p>
    <w:p>
      <w:pPr>
        <w:pStyle w:val="Heading 2"/>
      </w:pPr>
      <w:r>
        <w:rPr>
          <w:rtl w:val="0"/>
          <w:lang w:val="en-US"/>
        </w:rPr>
        <w:t>4.3 Reproduction Steps</w:t>
      </w:r>
    </w:p>
    <w:p>
      <w:pPr>
        <w:pStyle w:val="Body A"/>
      </w:pPr>
      <w:r>
        <w:t>1. As User B, post feedback and note its id.</w:t>
        <w:br/>
        <w:t>2. As User A, send DELETE /api/Feedbacks/{id}.</w:t>
        <w:br/>
        <w:t>3. User B's feedback is deleted.</w:t>
      </w:r>
    </w:p>
    <w:p>
      <w:pPr>
        <w:pStyle w:val="Heading 2"/>
      </w:pPr>
      <w:r>
        <w:rPr>
          <w:rtl w:val="0"/>
          <w:lang w:val="en-US"/>
        </w:rPr>
        <w:t>4.</w:t>
      </w:r>
      <w:r>
        <w:rPr>
          <w:rtl w:val="0"/>
          <w:lang w:val="en-US"/>
        </w:rPr>
        <w:t>4</w:t>
      </w:r>
      <w:r>
        <w:rPr>
          <w:rtl w:val="0"/>
          <w:lang w:val="en-US"/>
        </w:rPr>
        <w:t xml:space="preserve"> Expected vs. Actual Result</w:t>
      </w:r>
    </w:p>
    <w:p>
      <w:pPr>
        <w:pStyle w:val="Body A"/>
      </w:pPr>
      <w:r>
        <w:t>Expected: HTTP 403 unless author or admin.</w:t>
        <w:br/>
        <w:t>Actual: HTTP 200 — feedback deleted.</w:t>
      </w:r>
    </w:p>
    <w:p>
      <w:pPr>
        <w:pStyle w:val="Heading 2"/>
      </w:pPr>
      <w:r>
        <w:rPr>
          <w:rtl w:val="0"/>
          <w:lang w:val="en-US"/>
        </w:rPr>
        <w:t>4.</w:t>
      </w:r>
      <w:r>
        <w:rPr>
          <w:rtl w:val="0"/>
          <w:lang w:val="en-US"/>
        </w:rPr>
        <w:t>5</w:t>
      </w:r>
      <w:r>
        <w:rPr>
          <w:rtl w:val="0"/>
          <w:lang w:val="en-US"/>
        </w:rPr>
        <w:t xml:space="preserve"> Impact &amp; Limitations</w:t>
      </w:r>
    </w:p>
    <w:p>
      <w:pPr>
        <w:pStyle w:val="Body A"/>
      </w:pPr>
      <w:r>
        <w:t>Confirmed IDOR; attacker can delete or manipulate other users' feedback/ratings.</w:t>
      </w:r>
    </w:p>
    <w:p>
      <w:pPr>
        <w:pStyle w:val="Heading 2"/>
      </w:pPr>
      <w:r>
        <w:rPr>
          <w:rtl w:val="0"/>
          <w:lang w:val="en-US"/>
        </w:rPr>
        <w:t>4.</w:t>
      </w:r>
      <w:r>
        <w:rPr>
          <w:rtl w:val="0"/>
          <w:lang w:val="en-US"/>
        </w:rPr>
        <w:t>6</w:t>
      </w:r>
      <w:r>
        <w:rPr>
          <w:rtl w:val="0"/>
          <w:lang w:val="en-US"/>
        </w:rPr>
        <w:t xml:space="preserve"> Remediation Recommendation</w:t>
      </w:r>
    </w:p>
    <w:p>
      <w:pPr>
        <w:pStyle w:val="Body A"/>
      </w:pPr>
      <w:r>
        <w:t>Check req.user.id === feedback.UserId or admin role before deleting; return 403 otherwise.</w:t>
      </w:r>
    </w:p>
    <w:p>
      <w:pPr>
        <w:pStyle w:val="Heading"/>
      </w:pPr>
    </w:p>
    <w:p>
      <w:pPr>
        <w:pStyle w:val="Heading"/>
      </w:pPr>
      <w:r>
        <w:rPr>
          <w:rtl w:val="0"/>
          <w:lang w:val="en-US"/>
        </w:rPr>
        <w:t>5. Evidence Register</w:t>
      </w:r>
    </w:p>
    <w:tbl>
      <w:tblPr>
        <w:tblW w:w="9962" w:type="dxa"/>
        <w:jc w:val="center"/>
        <w:tblInd w:w="324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3320"/>
        <w:gridCol w:w="3321"/>
        <w:gridCol w:w="3321"/>
      </w:tblGrid>
      <w:tr>
        <w:tblPrEx>
          <w:shd w:val="clear" w:color="auto" w:fill="4f81bd"/>
        </w:tblPrEx>
        <w:trPr>
          <w:trHeight w:val="230" w:hRule="atLeast"/>
          <w:tblHeader/>
        </w:trPr>
        <w:tc>
          <w:tcPr>
            <w:tcW w:type="dxa" w:w="33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14243a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pacing w:after="40" w:line="240" w:lineRule="auto"/>
            </w:pPr>
            <w:r>
              <w:rPr>
                <w:rFonts w:ascii="Aptos" w:cs="Aptos" w:hAnsi="Aptos" w:eastAsia="Aptos"/>
                <w:b w:val="1"/>
                <w:bCs w:val="1"/>
                <w:outline w:val="0"/>
                <w:color w:val="ffffff"/>
                <w:sz w:val="16"/>
                <w:szCs w:val="16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Filename / location</w:t>
            </w:r>
          </w:p>
        </w:tc>
        <w:tc>
          <w:tcPr>
            <w:tcW w:type="dxa" w:w="332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14243a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pacing w:after="40" w:line="240" w:lineRule="auto"/>
            </w:pPr>
            <w:r>
              <w:rPr>
                <w:rFonts w:ascii="Aptos" w:cs="Aptos" w:hAnsi="Aptos" w:eastAsia="Aptos"/>
                <w:b w:val="1"/>
                <w:bCs w:val="1"/>
                <w:outline w:val="0"/>
                <w:color w:val="ffffff"/>
                <w:sz w:val="16"/>
                <w:szCs w:val="16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Related finding</w:t>
            </w:r>
          </w:p>
        </w:tc>
        <w:tc>
          <w:tcPr>
            <w:tcW w:type="dxa" w:w="332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14243a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pacing w:after="40" w:line="240" w:lineRule="auto"/>
            </w:pPr>
            <w:r>
              <w:rPr>
                <w:rFonts w:ascii="Aptos" w:cs="Aptos" w:hAnsi="Aptos" w:eastAsia="Aptos"/>
                <w:b w:val="1"/>
                <w:bCs w:val="1"/>
                <w:outline w:val="0"/>
                <w:color w:val="ffffff"/>
                <w:sz w:val="16"/>
                <w:szCs w:val="16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Sensitive data redacted?</w:t>
            </w:r>
          </w:p>
        </w:tc>
      </w:tr>
      <w:tr>
        <w:tblPrEx>
          <w:shd w:val="clear" w:color="auto" w:fill="ced7e7"/>
        </w:tblPrEx>
        <w:trPr>
          <w:trHeight w:val="230" w:hRule="atLeast"/>
        </w:trPr>
        <w:tc>
          <w:tcPr>
            <w:tcW w:type="dxa" w:w="33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4f7fa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basket-idor-user-b-response.png — screenshot of GET /rest/basket/5 response as User A</w:t>
            </w:r>
          </w:p>
        </w:tc>
        <w:tc>
          <w:tcPr>
            <w:tcW w:type="dxa" w:w="332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4f7fa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IDOR-01</w:t>
            </w:r>
          </w:p>
        </w:tc>
        <w:tc>
          <w:tcPr>
            <w:tcW w:type="dxa" w:w="332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4f7fa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Yes (User B's email/address masked)</w:t>
            </w:r>
          </w:p>
        </w:tc>
      </w:tr>
      <w:tr>
        <w:tblPrEx>
          <w:shd w:val="clear" w:color="auto" w:fill="ced7e7"/>
        </w:tblPrEx>
        <w:trPr>
          <w:trHeight w:val="230" w:hRule="atLeast"/>
        </w:trPr>
        <w:tc>
          <w:tcPr>
            <w:tcW w:type="dxa" w:w="33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4f7fa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review-forge-request-response.png — Burp Repeater request/response for forged review PUT</w:t>
            </w:r>
          </w:p>
        </w:tc>
        <w:tc>
          <w:tcPr>
            <w:tcW w:type="dxa" w:w="332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4f7fa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IDOR-02</w:t>
            </w:r>
          </w:p>
        </w:tc>
        <w:tc>
          <w:tcPr>
            <w:tcW w:type="dxa" w:w="332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4f7fa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Yes (tokens redacted)</w:t>
            </w:r>
          </w:p>
        </w:tc>
      </w:tr>
      <w:tr>
        <w:tblPrEx>
          <w:shd w:val="clear" w:color="auto" w:fill="ced7e7"/>
        </w:tblPrEx>
        <w:trPr>
          <w:trHeight w:val="230" w:hRule="atLeast"/>
        </w:trPr>
        <w:tc>
          <w:tcPr>
            <w:tcW w:type="dxa" w:w="33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4f7fa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feedback-delete-request-response.png — Burp Repeater request/response for feedback DELETE</w:t>
            </w:r>
          </w:p>
        </w:tc>
        <w:tc>
          <w:tcPr>
            <w:tcW w:type="dxa" w:w="332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4f7fa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IDOR-03</w:t>
            </w:r>
          </w:p>
        </w:tc>
        <w:tc>
          <w:tcPr>
            <w:tcW w:type="dxa" w:w="332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4f7fa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Yes (tokens redacted)</w:t>
            </w:r>
          </w:p>
        </w:tc>
      </w:tr>
    </w:tbl>
    <w:p>
      <w:pPr>
        <w:pStyle w:val="Heading"/>
        <w:widowControl w:val="0"/>
        <w:spacing w:line="240" w:lineRule="auto"/>
        <w:ind w:left="216" w:hanging="216"/>
        <w:jc w:val="center"/>
      </w:pPr>
    </w:p>
    <w:p>
      <w:pPr>
        <w:pStyle w:val="Heading"/>
        <w:widowControl w:val="0"/>
        <w:spacing w:line="240" w:lineRule="auto"/>
        <w:ind w:left="108" w:hanging="108"/>
        <w:jc w:val="center"/>
      </w:pPr>
      <w:r/>
    </w:p>
    <w:sectPr>
      <w:headerReference w:type="default" r:id="rId4"/>
      <w:footerReference w:type="default" r:id="rId5"/>
      <w:pgSz w:w="12240" w:h="15840" w:orient="portrait"/>
      <w:pgMar w:top="936" w:right="1080" w:bottom="936" w:left="1080" w:header="720" w:footer="72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Aptos">
    <w:charset w:val="00"/>
    <w:family w:val="roman"/>
    <w:pitch w:val="default"/>
  </w:font>
  <w:font w:name="Aptos Display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footer"/>
      <w:jc w:val="center"/>
    </w:pPr>
    <w:r>
      <w:rPr>
        <w:outline w:val="0"/>
        <w:color w:val="5b6573"/>
        <w:sz w:val="15"/>
        <w:szCs w:val="15"/>
        <w:u w:color="5b6573"/>
        <w:rtl w:val="0"/>
        <w:lang w:val="en-US"/>
        <w14:textFill>
          <w14:solidFill>
            <w14:srgbClr w14:val="5B6573"/>
          </w14:solidFill>
        </w14:textFill>
      </w:rPr>
      <w:t xml:space="preserve">CONFIDENTIAL </w:t>
    </w:r>
    <w:r>
      <w:rPr>
        <w:outline w:val="0"/>
        <w:color w:val="5b6573"/>
        <w:sz w:val="15"/>
        <w:szCs w:val="15"/>
        <w:u w:color="5b6573"/>
        <w:rtl w:val="0"/>
        <w:lang w:val="en-US"/>
        <w14:textFill>
          <w14:solidFill>
            <w14:srgbClr w14:val="5B6573"/>
          </w14:solidFill>
        </w14:textFill>
      </w:rPr>
      <w:t xml:space="preserve">— </w:t>
    </w:r>
    <w:r>
      <w:rPr>
        <w:outline w:val="0"/>
        <w:color w:val="5b6573"/>
        <w:sz w:val="15"/>
        <w:szCs w:val="15"/>
        <w:u w:color="5b6573"/>
        <w:rtl w:val="0"/>
        <w:lang w:val="en-US"/>
        <w14:textFill>
          <w14:solidFill>
            <w14:srgbClr w14:val="5B6573"/>
          </w14:solidFill>
        </w14:textFill>
      </w:rPr>
      <w:t xml:space="preserve">TRAINING / AUTHORIZED TESTING ONLY  </w:t>
    </w:r>
    <w:r>
      <w:rPr>
        <w:outline w:val="0"/>
        <w:color w:val="5b6573"/>
        <w:sz w:val="15"/>
        <w:szCs w:val="15"/>
        <w:u w:color="5b6573"/>
        <w:rtl w:val="0"/>
        <w:lang w:val="en-US"/>
        <w14:textFill>
          <w14:solidFill>
            <w14:srgbClr w14:val="5B6573"/>
          </w14:solidFill>
        </w14:textFill>
      </w:rPr>
      <w:t xml:space="preserve">•  </w:t>
    </w:r>
    <w:r>
      <w:rPr/>
      <w:fldChar w:fldCharType="begin" w:fldLock="0"/>
    </w:r>
    <w:r>
      <w:instrText xml:space="preserve"> PAGE </w:instrText>
    </w:r>
    <w:r>
      <w:rPr/>
      <w:fldChar w:fldCharType="separate" w:fldLock="0"/>
    </w:r>
    <w:r/>
    <w:r>
      <w:rPr/>
      <w:fldChar w:fldCharType="end" w:fldLock="0"/>
    </w:r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caption"/>
    </w:pPr>
    <w:r>
      <w:rPr>
        <w:outline w:val="0"/>
        <w:color w:val="5b6573"/>
        <w:sz w:val="15"/>
        <w:szCs w:val="15"/>
        <w:u w:color="5b6573"/>
        <w:rtl w:val="0"/>
        <w:lang w:val="en-US"/>
        <w14:textFill>
          <w14:solidFill>
            <w14:srgbClr w14:val="5B6573"/>
          </w14:solidFill>
        </w14:textFill>
      </w:rPr>
      <w:t>WEB APPLICATION &amp; API PENETRATION TEST  |  CONTROLLED TRAINING ASSESSMENT</w:t>
    </w:r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caption">
    <w:name w:val="caption"/>
    <w:next w:val="Body A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100" w:line="240" w:lineRule="auto"/>
      <w:ind w:left="0" w:right="0" w:firstLine="0"/>
      <w:jc w:val="left"/>
      <w:outlineLvl w:val="9"/>
    </w:pPr>
    <w:rPr>
      <w:rFonts w:ascii="Aptos" w:cs="Aptos" w:hAnsi="Aptos" w:eastAsia="Aptos"/>
      <w:b w:val="1"/>
      <w:bCs w:val="1"/>
      <w:i w:val="0"/>
      <w:iCs w:val="0"/>
      <w:caps w:val="0"/>
      <w:smallCaps w:val="0"/>
      <w:strike w:val="0"/>
      <w:dstrike w:val="0"/>
      <w:outline w:val="0"/>
      <w:color w:val="4f81bd"/>
      <w:spacing w:val="0"/>
      <w:kern w:val="0"/>
      <w:position w:val="0"/>
      <w:sz w:val="18"/>
      <w:szCs w:val="18"/>
      <w:u w:val="none" w:color="4f81bd"/>
      <w:shd w:val="nil" w:color="auto" w:fill="auto"/>
      <w:vertAlign w:val="baseline"/>
      <w:lang w:val="en-US"/>
      <w14:textOutline w14:w="12700" w14:cap="flat">
        <w14:noFill/>
        <w14:miter w14:lim="400000"/>
      </w14:textOutline>
      <w14:textFill>
        <w14:solidFill>
          <w14:srgbClr w14:val="4F81BD"/>
        </w14:solidFill>
      </w14:textFill>
    </w:rPr>
  </w:style>
  <w:style w:type="paragraph" w:styleId="Body A">
    <w:name w:val="Body A"/>
    <w:next w:val="Body A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100" w:line="276" w:lineRule="auto"/>
      <w:ind w:left="0" w:right="0" w:firstLine="0"/>
      <w:jc w:val="left"/>
      <w:outlineLvl w:val="9"/>
    </w:pPr>
    <w:rPr>
      <w:rFonts w:ascii="Aptos" w:cs="Aptos" w:hAnsi="Aptos" w:eastAsia="Aptos"/>
      <w:b w:val="0"/>
      <w:bCs w:val="0"/>
      <w:i w:val="0"/>
      <w:iCs w:val="0"/>
      <w:caps w:val="0"/>
      <w:smallCaps w:val="0"/>
      <w:strike w:val="0"/>
      <w:dstrike w:val="0"/>
      <w:outline w:val="0"/>
      <w:color w:val="14243a"/>
      <w:spacing w:val="0"/>
      <w:kern w:val="0"/>
      <w:position w:val="0"/>
      <w:sz w:val="19"/>
      <w:szCs w:val="19"/>
      <w:u w:val="none" w:color="14243a"/>
      <w:shd w:val="nil" w:color="auto" w:fill="auto"/>
      <w:vertAlign w:val="baseline"/>
      <w:lang w:val="en-US"/>
      <w14:textOutline w14:w="12700" w14:cap="flat">
        <w14:noFill/>
        <w14:miter w14:lim="400000"/>
      </w14:textOutline>
      <w14:textFill>
        <w14:solidFill>
          <w14:srgbClr w14:val="14243A"/>
        </w14:solidFill>
      </w14:textFill>
    </w:rPr>
  </w:style>
  <w:style w:type="paragraph" w:styleId="footer">
    <w:name w:val="footer"/>
    <w:next w:val="footer"/>
    <w:pPr>
      <w:keepNext w:val="0"/>
      <w:keepLines w:val="0"/>
      <w:pageBreakBefore w:val="0"/>
      <w:widowControl w:val="1"/>
      <w:shd w:val="clear" w:color="auto" w:fill="auto"/>
      <w:tabs>
        <w:tab w:val="center" w:pos="4680"/>
        <w:tab w:val="right" w:pos="936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Aptos" w:cs="Aptos" w:hAnsi="Aptos" w:eastAsia="Aptos"/>
      <w:b w:val="0"/>
      <w:bCs w:val="0"/>
      <w:i w:val="0"/>
      <w:iCs w:val="0"/>
      <w:caps w:val="0"/>
      <w:smallCaps w:val="0"/>
      <w:strike w:val="0"/>
      <w:dstrike w:val="0"/>
      <w:outline w:val="0"/>
      <w:color w:val="14243a"/>
      <w:spacing w:val="0"/>
      <w:kern w:val="0"/>
      <w:position w:val="0"/>
      <w:sz w:val="19"/>
      <w:szCs w:val="19"/>
      <w:u w:val="none" w:color="14243a"/>
      <w:shd w:val="nil" w:color="auto" w:fill="auto"/>
      <w:vertAlign w:val="baseline"/>
      <w:lang w:val="en-US"/>
      <w14:textFill>
        <w14:solidFill>
          <w14:srgbClr w14:val="14243A"/>
        </w14:solidFill>
      </w14:textFill>
    </w:rPr>
  </w:style>
  <w:style w:type="paragraph" w:styleId="Title">
    <w:name w:val="Title"/>
    <w:next w:val="Body A"/>
    <w:pPr>
      <w:keepNext w:val="0"/>
      <w:keepLines w:val="0"/>
      <w:pageBreakBefore w:val="0"/>
      <w:widowControl w:val="1"/>
      <w:pBdr>
        <w:top w:val="nil"/>
        <w:left w:val="nil"/>
        <w:bottom w:val="single" w:color="4f81bd" w:sz="8" w:space="0" w:shadow="0" w:frame="0"/>
        <w:right w:val="nil"/>
      </w:pBdr>
      <w:shd w:val="clear" w:color="auto" w:fill="auto"/>
      <w:suppressAutoHyphens w:val="0"/>
      <w:bidi w:val="0"/>
      <w:spacing w:before="200" w:after="80" w:line="240" w:lineRule="auto"/>
      <w:ind w:left="0" w:right="0" w:firstLine="0"/>
      <w:jc w:val="left"/>
      <w:outlineLvl w:val="9"/>
    </w:pPr>
    <w:rPr>
      <w:rFonts w:ascii="Aptos Display" w:cs="Aptos Display" w:hAnsi="Aptos Display" w:eastAsia="Aptos Display"/>
      <w:b w:val="1"/>
      <w:bCs w:val="1"/>
      <w:i w:val="0"/>
      <w:iCs w:val="0"/>
      <w:caps w:val="0"/>
      <w:smallCaps w:val="0"/>
      <w:strike w:val="0"/>
      <w:dstrike w:val="0"/>
      <w:outline w:val="0"/>
      <w:color w:val="14243a"/>
      <w:spacing w:val="5"/>
      <w:kern w:val="28"/>
      <w:position w:val="0"/>
      <w:sz w:val="52"/>
      <w:szCs w:val="52"/>
      <w:u w:val="none" w:color="14243a"/>
      <w:shd w:val="nil" w:color="auto" w:fill="auto"/>
      <w:vertAlign w:val="baseline"/>
      <w:lang w:val="en-US"/>
      <w14:textOutline w14:w="12700" w14:cap="flat">
        <w14:noFill/>
        <w14:miter w14:lim="400000"/>
      </w14:textOutline>
      <w14:textFill>
        <w14:solidFill>
          <w14:srgbClr w14:val="14243A"/>
        </w14:solidFill>
      </w14:textFill>
    </w:rPr>
  </w:style>
  <w:style w:type="paragraph" w:styleId="Heading">
    <w:name w:val="Heading"/>
    <w:next w:val="Body A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200" w:after="80" w:line="276" w:lineRule="auto"/>
      <w:ind w:left="0" w:right="0" w:firstLine="0"/>
      <w:jc w:val="left"/>
      <w:outlineLvl w:val="0"/>
    </w:pPr>
    <w:rPr>
      <w:rFonts w:ascii="Aptos Display" w:cs="Aptos Display" w:hAnsi="Aptos Display" w:eastAsia="Aptos Display"/>
      <w:b w:val="1"/>
      <w:bCs w:val="1"/>
      <w:i w:val="0"/>
      <w:iCs w:val="0"/>
      <w:caps w:val="0"/>
      <w:smallCaps w:val="0"/>
      <w:strike w:val="0"/>
      <w:dstrike w:val="0"/>
      <w:outline w:val="0"/>
      <w:color w:val="14243a"/>
      <w:spacing w:val="0"/>
      <w:kern w:val="0"/>
      <w:position w:val="0"/>
      <w:sz w:val="34"/>
      <w:szCs w:val="34"/>
      <w:u w:val="none" w:color="14243a"/>
      <w:shd w:val="nil" w:color="auto" w:fill="auto"/>
      <w:vertAlign w:val="baseline"/>
      <w:lang w:val="en-US"/>
      <w14:textOutline w14:w="12700" w14:cap="flat">
        <w14:noFill/>
        <w14:miter w14:lim="400000"/>
      </w14:textOutline>
      <w14:textFill>
        <w14:solidFill>
          <w14:srgbClr w14:val="14243A"/>
        </w14:solidFill>
      </w14:textFill>
    </w:rPr>
  </w:style>
  <w:style w:type="paragraph" w:styleId="Heading 2">
    <w:name w:val="Heading 2"/>
    <w:next w:val="Body A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200" w:after="80" w:line="276" w:lineRule="auto"/>
      <w:ind w:left="0" w:right="0" w:firstLine="0"/>
      <w:jc w:val="left"/>
      <w:outlineLvl w:val="1"/>
    </w:pPr>
    <w:rPr>
      <w:rFonts w:ascii="Aptos" w:cs="Aptos" w:hAnsi="Aptos" w:eastAsia="Aptos"/>
      <w:b w:val="1"/>
      <w:bCs w:val="1"/>
      <w:i w:val="0"/>
      <w:iCs w:val="0"/>
      <w:caps w:val="0"/>
      <w:smallCaps w:val="0"/>
      <w:strike w:val="0"/>
      <w:dstrike w:val="0"/>
      <w:outline w:val="0"/>
      <w:color w:val="1f5a85"/>
      <w:spacing w:val="0"/>
      <w:kern w:val="0"/>
      <w:position w:val="0"/>
      <w:sz w:val="24"/>
      <w:szCs w:val="24"/>
      <w:u w:val="none" w:color="1f5a85"/>
      <w:shd w:val="nil" w:color="auto" w:fill="auto"/>
      <w:vertAlign w:val="baseline"/>
      <w:lang w:val="en-US"/>
      <w14:textOutline w14:w="12700" w14:cap="flat">
        <w14:noFill/>
        <w14:miter w14:lim="400000"/>
      </w14:textOutline>
      <w14:textFill>
        <w14:solidFill>
          <w14:srgbClr w14:val="1F5A85"/>
        </w14:solidFill>
      </w14:textFill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Aptos Display"/>
        <a:ea typeface="Aptos Display"/>
        <a:cs typeface="Aptos Display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8" tIns="45718" rIns="45718" bIns="45718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