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0"/>
        <w:jc w:val="center"/>
      </w:pPr>
      <w:r>
        <w:rPr>
          <w:rFonts w:ascii="Times New Roman" w:cs="Times New Roman" w:eastAsia="Times New Roman" w:hAnsi="Times New Roman"/>
          <w:b/>
          <w:bCs/>
          <w:sz w:val="36"/>
          <w:szCs w:val="36"/>
        </w:rPr>
        <w:t xml:space="preserve">THE STRUCTURAL DYNAMICS OF GLOBAL DEBT ACCUMULATION</w:t>
      </w:r>
    </w:p>
    <w:p>
      <w:pPr>
        <w:spacing w:after="200"/>
        <w:jc w:val="center"/>
      </w:pPr>
      <w:r>
        <w:rPr>
          <w:rFonts w:ascii="Times New Roman" w:cs="Times New Roman" w:eastAsia="Times New Roman" w:hAnsi="Times New Roman"/>
          <w:b/>
          <w:bCs/>
          <w:sz w:val="36"/>
          <w:szCs w:val="36"/>
        </w:rPr>
        <w:t xml:space="preserve">AND STRATEGIES FOR INVERSE POSITIONING</w:t>
      </w:r>
    </w:p>
    <w:p>
      <w:pPr>
        <w:spacing w:after="100"/>
        <w:jc w:val="center"/>
      </w:pPr>
      <w:r>
        <w:rPr>
          <w:rFonts w:ascii="Times New Roman" w:cs="Times New Roman" w:eastAsia="Times New Roman" w:hAnsi="Times New Roman"/>
          <w:i/>
          <w:iCs/>
          <w:sz w:val="26"/>
          <w:szCs w:val="26"/>
        </w:rPr>
        <w:t xml:space="preserve">A Counter-Thesis on Value Creation in an Era of Sovereign Debt Expansion</w:t>
      </w:r>
    </w:p>
    <w:p>
      <w:pPr>
        <w:spacing w:after="600"/>
      </w:pPr>
    </w:p>
    <w:p>
      <w:pPr>
        <w:spacing w:after="80"/>
        <w:jc w:val="center"/>
      </w:pPr>
      <w:r>
        <w:rPr>
          <w:rFonts w:ascii="Times New Roman" w:cs="Times New Roman" w:eastAsia="Times New Roman" w:hAnsi="Times New Roman"/>
          <w:sz w:val="24"/>
          <w:szCs w:val="24"/>
        </w:rPr>
        <w:t xml:space="preserve">Prepared by Professor Codephreak</w:t>
      </w:r>
    </w:p>
    <w:p>
      <w:pPr>
        <w:spacing w:after="80"/>
        <w:jc w:val="center"/>
      </w:pPr>
      <w:r>
        <w:rPr>
          <w:rFonts w:ascii="Times New Roman" w:cs="Times New Roman" w:eastAsia="Times New Roman" w:hAnsi="Times New Roman"/>
          <w:sz w:val="24"/>
          <w:szCs w:val="24"/>
        </w:rPr>
        <w:t xml:space="preserve">Architect, DELTAVERSE Ecosystem</w:t>
      </w:r>
    </w:p>
    <w:p>
      <w:pPr>
        <w:spacing w:after="200"/>
      </w:pPr>
    </w:p>
    <w:p>
      <w:pPr>
        <w:spacing w:after="80"/>
        <w:jc w:val="center"/>
      </w:pPr>
      <w:r>
        <w:rPr>
          <w:rFonts w:ascii="Times New Roman" w:cs="Times New Roman" w:eastAsia="Times New Roman" w:hAnsi="Times New Roman"/>
          <w:sz w:val="24"/>
          <w:szCs w:val="24"/>
        </w:rPr>
        <w:t xml:space="preserve">February 2026</w:t>
      </w:r>
    </w:p>
    <w:p>
      <w:pPr>
        <w:spacing w:after="800"/>
      </w:pPr>
    </w:p>
    <w:p>
      <w:pPr>
        <w:spacing w:after="0"/>
        <w:jc w:val="center"/>
      </w:pPr>
      <w:r>
        <w:rPr>
          <w:rFonts w:ascii="Times New Roman" w:cs="Times New Roman" w:eastAsia="Times New Roman" w:hAnsi="Times New Roman"/>
          <w:i/>
          <w:iCs/>
          <w:color w:val="666666"/>
          <w:sz w:val="20"/>
          <w:szCs w:val="20"/>
        </w:rPr>
        <w:t xml:space="preserve">Working Paper — Not for Distribution Without Permission</w:t>
      </w:r>
    </w:p>
    <w:p>
      <w:pPr>
        <w:sectPr>
          <w:pgSz w:w="12240" w:h="15840" w:orient="portrait"/>
          <w:pgMar w:top="1440" w:right="1440" w:bottom="1440" w:left="1440" w:header="708" w:footer="708" w:gutter="0"/>
          <w:pgNumType/>
          <w:docGrid w:linePitch="360"/>
        </w:sectPr>
      </w:pPr>
    </w:p>
    <w:p>
      <w:pPr>
        <w:pStyle w:val="Heading1"/>
        <w:spacing w:before="300" w:after="2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pacing w:after="180" w:line="360"/>
        <w:jc w:val="both"/>
      </w:pPr>
      <w:r>
        <w:rPr>
          <w:rFonts w:ascii="Times New Roman" w:cs="Times New Roman" w:eastAsia="Times New Roman" w:hAnsi="Times New Roman"/>
          <w:i/>
          <w:iCs/>
          <w:color w:val="888888"/>
          <w:sz w:val="24"/>
          <w:szCs w:val="24"/>
        </w:rPr>
        <w:t xml:space="preserve">Note: Update this table of contents in your word processor after opening the document.</w:t>
      </w:r>
    </w:p>
    <w:p>
      <w:pPr>
        <w:sectPr>
          <w:pgSz w:w="12240" w:h="15840" w:orient="portrait"/>
          <w:pgMar w:top="1440" w:right="1440" w:bottom="1440" w:left="1440" w:header="708" w:footer="708" w:gutter="0"/>
          <w:pgNumType/>
          <w:docGrid w:linePitch="360"/>
        </w:sectPr>
      </w:pPr>
    </w:p>
    <w:p>
      <w:pPr>
        <w:pStyle w:val="Heading1"/>
        <w:spacing w:before="300" w:after="200"/>
      </w:pPr>
      <w:r>
        <w:rPr>
          <w:b/>
          <w:bCs/>
        </w:rPr>
        <w:t xml:space="preserve">Abstract</w:t>
      </w:r>
    </w:p>
    <w:p>
      <w:pPr>
        <w:spacing w:after="180" w:line="360"/>
        <w:jc w:val="both"/>
      </w:pPr>
      <w:r>
        <w:rPr>
          <w:rFonts w:ascii="Times New Roman" w:cs="Times New Roman" w:eastAsia="Times New Roman" w:hAnsi="Times New Roman"/>
          <w:sz w:val="24"/>
          <w:szCs w:val="24"/>
        </w:rPr>
        <w:t xml:space="preserve">This paper examines the structural mechanics driving the unprecedented expansion of global debt, which surpassed $346 trillion in aggregate and $111 trillion in sovereign obligations by 2025. We argue that the contemporary debt regime exhibits characteristics of a self-reinforcing positive feedback loop in which deficit-financed expenditure generates compounding interest obligations that necessitate further borrowing, creating a systemic trajectory toward either monetary debasement or credit restructuring. The analysis proceeds in four stages: first, a quantitative decomposition of global debt dynamics across sovereign, corporate, and household sectors; second, an examination of the structural drivers—including post-pandemic fiscal legacies, geopolitical defense expenditure, and demographic pressure—that render fiscal consolidation politically intractable; third, a comprehensive taxonomy of financial instruments and strategic positions that constitute an effective “short” against the continuation of the debt expansion paradigm; and fourth, a philosophical examination of alternative value-creation architectures—particularly decentralized autonomous intelligence systems and blockchain-mediated knowledge economies—as structural hedges against fiat-denominated debt regimes. We conclude that the most durable short position against global debt accumulation is not merely a financial trade but the construction of parallel economic systems whose value derives from productive intelligence rather than leveraged claims on future output.</w:t>
      </w:r>
    </w:p>
    <w:p>
      <w:pPr>
        <w:pStyle w:val="Heading1"/>
        <w:spacing w:before="300" w:after="200"/>
      </w:pPr>
      <w:r>
        <w:rPr>
          <w:b/>
          <w:bCs/>
        </w:rPr>
        <w:t xml:space="preserve">1. Introduction: The Ontology of Debt-Based Value</w:t>
      </w:r>
    </w:p>
    <w:p>
      <w:pPr>
        <w:spacing w:after="180" w:line="360"/>
        <w:jc w:val="both"/>
      </w:pPr>
      <w:r>
        <w:rPr>
          <w:rFonts w:ascii="Times New Roman" w:cs="Times New Roman" w:eastAsia="Times New Roman" w:hAnsi="Times New Roman"/>
          <w:sz w:val="24"/>
          <w:szCs w:val="24"/>
        </w:rPr>
        <w:t xml:space="preserve">The modern global economy operates on a foundational axiom so deeply embedded in institutional practice that it has become invisible: that value can be created by borrowing against the future. Governments issue sovereign bonds on the implicit promise that tomorrow’s economic output will service today’s expenditure. Corporations lever their balance sheets against projected future cash flows. Households mortgage decades of future labor to secure present consumption. The entire architecture of contemporary capitalism is, at its root, a temporal arbitrage mechanism—a systematic transfer of value from the future to the present, mediated by the instrument of debt.</w:t>
      </w:r>
    </w:p>
    <w:p>
      <w:pPr>
        <w:spacing w:after="180" w:line="360"/>
        <w:jc w:val="both"/>
      </w:pPr>
      <w:r>
        <w:rPr>
          <w:rFonts w:ascii="Times New Roman" w:cs="Times New Roman" w:eastAsia="Times New Roman" w:hAnsi="Times New Roman"/>
          <w:sz w:val="24"/>
          <w:szCs w:val="24"/>
        </w:rPr>
        <w:t xml:space="preserve">For much of the post-war period, this arrangement was sustainable. Real GDP growth rates exceeded real interest rates, ensuring that the denominator of the debt-to-GDP ratio expanded faster than the numerator. The Bretton Woods system, and its successor regime of managed floating exchange rates, provided institutional scaffolding for this equilibrium. Central banks acted as backstops of last resort, and the implicit social contract—that each generation would be wealthier than the last—provided political legitimacy to intergenerational borrowing.</w:t>
      </w:r>
    </w:p>
    <w:p>
      <w:pPr>
        <w:spacing w:after="180" w:line="360"/>
        <w:jc w:val="both"/>
      </w:pPr>
      <w:r>
        <w:rPr>
          <w:rFonts w:ascii="Times New Roman" w:cs="Times New Roman" w:eastAsia="Times New Roman" w:hAnsi="Times New Roman"/>
          <w:sz w:val="24"/>
          <w:szCs w:val="24"/>
        </w:rPr>
        <w:t xml:space="preserve">That equilibrium is now breaking down. Global public debt has reached approximately 95% of world GDP, with total debt across all sectors approaching 235% of global output. The IMF’s Global Debt Database documents that approximately one-third of all nations—representing 80% of global GDP—carry public debt that is both higher than pre-pandemic levels and accelerating. The Institute of International Finance recorded over $26 trillion added to global debt stockpiles in just the first nine months of 2025, pushing the total to approximately $346 trillion. These are not merely large numbers; they represent a qualitative shift in the relationship between debt and the productive economy it ostensibly finances.</w:t>
      </w:r>
    </w:p>
    <w:p>
      <w:pPr>
        <w:spacing w:after="180" w:line="360"/>
        <w:jc w:val="both"/>
      </w:pPr>
      <w:r>
        <w:rPr>
          <w:rFonts w:ascii="Times New Roman" w:cs="Times New Roman" w:eastAsia="Times New Roman" w:hAnsi="Times New Roman"/>
          <w:sz w:val="24"/>
          <w:szCs w:val="24"/>
        </w:rPr>
        <w:t xml:space="preserve">This paper argues that the global debt regime has entered a phase transition—from a sustainable equilibrium in which borrowing finances productive investment to a self-reinforcing cycle in which borrowing increasingly finances the servicing of prior borrowing. We further argue that this transition creates specific opportunities for inverse positioning, both through conventional financial instruments and through the construction of alternative value-creation systems that operate outside the debt-based paradigm. The paper synthesizes macroeconomic analysis, financial engineering, and the emerging field of decentralized autonomous intelligence to construct a comprehensive framework for understanding—and positioning against—the structural dynamics of global debt expansion.</w:t>
      </w:r>
    </w:p>
    <w:p>
      <w:pPr>
        <w:pStyle w:val="Heading1"/>
        <w:spacing w:before="300" w:after="200"/>
      </w:pPr>
      <w:r>
        <w:rPr>
          <w:b/>
          <w:bCs/>
        </w:rPr>
        <w:t xml:space="preserve">2. Quantitative Decomposition of Global Debt Dynamics</w:t>
      </w:r>
    </w:p>
    <w:p>
      <w:pPr>
        <w:pStyle w:val="Heading2"/>
        <w:spacing w:before="300" w:after="200"/>
      </w:pPr>
      <w:r>
        <w:rPr>
          <w:b/>
          <w:bCs/>
        </w:rPr>
        <w:t xml:space="preserve">2.1 Aggregate Magnitudes and Sectoral Distribution</w:t>
      </w:r>
    </w:p>
    <w:p>
      <w:pPr>
        <w:spacing w:after="180" w:line="360"/>
        <w:jc w:val="both"/>
      </w:pPr>
      <w:r>
        <w:rPr>
          <w:rFonts w:ascii="Times New Roman" w:cs="Times New Roman" w:eastAsia="Times New Roman" w:hAnsi="Times New Roman"/>
          <w:sz w:val="24"/>
          <w:szCs w:val="24"/>
        </w:rPr>
        <w:t xml:space="preserve">The scale of contemporary global indebtedness requires careful decomposition to be properly understood. According to the IMF’s Global Debt Database (2025 edition), total global debt stood at approximately $251 trillion in US dollar terms as of end-2024, with public debt rising to $99.2 trillion and private debt declining slightly to $151.8 trillion. However, the Institute of International Finance’s broader measure, which includes financial sector debt, places the figure at nearly $346 trillion through the third quarter of 2025. The discrepancy reflects methodological differences in perimeter definition—the IIF includes financial institution liabilities that the IMF’s GDD excludes—but both series confirm an unmistakable upward trajectory.</w:t>
      </w:r>
    </w:p>
    <w:p>
      <w:pPr>
        <w:spacing w:after="180" w:line="360"/>
        <w:jc w:val="both"/>
      </w:pPr>
      <w:r>
        <w:rPr>
          <w:rFonts w:ascii="Times New Roman" w:cs="Times New Roman" w:eastAsia="Times New Roman" w:hAnsi="Times New Roman"/>
          <w:sz w:val="24"/>
          <w:szCs w:val="24"/>
        </w:rPr>
        <w:t xml:space="preserve">The sectoral composition of this debt reveals important structural dynamics. Public debt has been the primary driver of recent increases, rising to nearly 93% of GDP globally—and projected by the IMF’s Fiscal Monitor to approach 100% by the end of the decade. Private sector debt has declined modestly in aggregate, falling to under 143% of GDP (the lowest since 2015), but this aggregate masks significant divergence. The United States experienced a 4.5 percentage point drop in private debt-to-GDP, driven by strong corporate balance sheets and accumulated cash reserves, while China recorded a 6 percentage point increase to 206% of GDP, concentrated in non-financial corporate borrowing despite ongoing weakness in the property sector.</w:t>
      </w:r>
    </w:p>
    <w:p>
      <w:pPr>
        <w:spacing w:after="100"/>
      </w:pPr>
    </w:p>
    <w:p>
      <w:pPr>
        <w:spacing w:after="120"/>
        <w:jc w:val="center"/>
      </w:pPr>
      <w:r>
        <w:rPr>
          <w:rFonts w:ascii="Times New Roman" w:cs="Times New Roman" w:eastAsia="Times New Roman" w:hAnsi="Times New Roman"/>
          <w:b/>
          <w:bCs/>
          <w:i/>
          <w:iCs/>
          <w:sz w:val="22"/>
          <w:szCs w:val="22"/>
        </w:rPr>
        <w:t xml:space="preserve">Table 1: Global Debt Snapshot,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Metric</w:t>
            </w:r>
          </w:p>
        </w:tc>
        <w:tc>
          <w:tcPr>
            <w:tcW w:type="dxa" w:w="28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Value</w:t>
            </w:r>
          </w:p>
        </w:tc>
        <w:tc>
          <w:tcPr>
            <w:tcW w:type="dxa" w:w="28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Source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Total Global Debt (All Sectors)</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~$346 Trillion (Q3 2025)</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IIF Global Debt Monitor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Total Debt (Excl. Financial Sector)</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$251 Trillion (2024)</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IMF Global Debt Database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Global Public Debt</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$99.2–$111 Trillion</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IMF / Visual Capitalist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Public Debt-to-GDP Ratio</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~93–95% of GDP</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IMF Fiscal Monitor 2025</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Global Non-Household Debt</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$150 Trillion (Q1 2025)</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Visual Capitalist / Terzo</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OECD Sovereign Bond Issuance</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$17 Trillion (2025 projected)</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OECD Global Debt Report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Global Corporate Bond Debt</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$35 Trillion (end-2024)</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OECD Global Debt Report</w:t>
            </w:r>
          </w:p>
        </w:tc>
      </w:tr>
    </w:tbl>
    <w:p>
      <w:pPr>
        <w:spacing w:after="200"/>
      </w:pPr>
    </w:p>
    <w:p>
      <w:pPr>
        <w:pStyle w:val="Heading2"/>
        <w:spacing w:before="300" w:after="200"/>
      </w:pPr>
      <w:r>
        <w:rPr>
          <w:b/>
          <w:bCs/>
        </w:rPr>
        <w:t xml:space="preserve">2.2 The Mechanics of Debt Self-Reinforcement</w:t>
      </w:r>
    </w:p>
    <w:p>
      <w:pPr>
        <w:spacing w:after="180" w:line="360"/>
        <w:jc w:val="both"/>
      </w:pPr>
      <w:r>
        <w:rPr>
          <w:rFonts w:ascii="Times New Roman" w:cs="Times New Roman" w:eastAsia="Times New Roman" w:hAnsi="Times New Roman"/>
          <w:sz w:val="24"/>
          <w:szCs w:val="24"/>
        </w:rPr>
        <w:t xml:space="preserve">The critical structural observation is that the global fiscal deficit—averaging approximately 5% of GDP—is now primarily a function of debt servicing rather than discretionary expenditure. The UNCTAD’s World of Debt report (2025) documents that developing countries’ net interest payments on public debt reached $921 billion in 2024, a 10% year-over-year increase. A record 61 developing countries now allocate 10% or more of government revenues to interest payments alone. Some 3.4 billion people live in countries where debt service costs exceed spending on either health or education—a stark illustration of the displacement effect that compound interest exerts on productive public investment.</w:t>
      </w:r>
    </w:p>
    <w:p>
      <w:pPr>
        <w:spacing w:after="180" w:line="360"/>
        <w:jc w:val="both"/>
      </w:pPr>
      <w:r>
        <w:rPr>
          <w:rFonts w:ascii="Times New Roman" w:cs="Times New Roman" w:eastAsia="Times New Roman" w:hAnsi="Times New Roman"/>
          <w:sz w:val="24"/>
          <w:szCs w:val="24"/>
        </w:rPr>
        <w:t xml:space="preserve">This dynamic exhibits the mathematical characteristics of a positive feedback loop. Rising debt stock generates rising interest obligations; rising interest obligations expand fiscal deficits; expanded fiscal deficits require additional borrowing; and additional borrowing further expands the debt stock. In systems theory, this is a classic runaway process—one that continues until an external constraint is encountered. In the context of sovereign debt, that constraint historically takes one of three forms: default and restructuring, monetary inflation that erodes the real value of obligations, or—in rare cases—sustained fiscal surplus sufficient to reverse the trajectory. The current global political economy renders the third option implausible for most major sovereigns.</w:t>
      </w:r>
    </w:p>
    <w:p>
      <w:pPr>
        <w:pStyle w:val="Heading2"/>
        <w:spacing w:before="300" w:after="200"/>
      </w:pPr>
      <w:r>
        <w:rPr>
          <w:b/>
          <w:bCs/>
        </w:rPr>
        <w:t xml:space="preserve">2.3 The Refinancing Wall: A Temporal Convergence</w:t>
      </w:r>
    </w:p>
    <w:p>
      <w:pPr>
        <w:spacing w:after="180" w:line="360"/>
        <w:jc w:val="both"/>
      </w:pPr>
      <w:r>
        <w:rPr>
          <w:rFonts w:ascii="Times New Roman" w:cs="Times New Roman" w:eastAsia="Times New Roman" w:hAnsi="Times New Roman"/>
          <w:sz w:val="24"/>
          <w:szCs w:val="24"/>
        </w:rPr>
        <w:t xml:space="preserve">The OECD’s Global Debt Report (2025) identifies a critical near-term vulnerability: approximately 45% of OECD countries’ sovereign debt will mature by 2027, including one-third of fixed-rate debt, 60% of which was issued before the post-2022 tightening cycle at historically low interest rates. The equivalent share in emerging markets is nearly 40%, with low-income and high-risk countries facing the most acute exposure—over half of their debt matures within this period, and more than 25% falls due in 2025 alone.</w:t>
      </w:r>
    </w:p>
    <w:p>
      <w:pPr>
        <w:spacing w:after="180" w:line="360"/>
        <w:jc w:val="both"/>
      </w:pPr>
      <w:r>
        <w:rPr>
          <w:rFonts w:ascii="Times New Roman" w:cs="Times New Roman" w:eastAsia="Times New Roman" w:hAnsi="Times New Roman"/>
          <w:sz w:val="24"/>
          <w:szCs w:val="24"/>
        </w:rPr>
        <w:t xml:space="preserve">This refinancing wall represents a qualitative inflection point. Debt issued at near-zero rates during the 2020–2021 monetary expansion will be rolled over at yields that are, in many cases, 300 to 500 basis points higher. The OECD reports that between 2021 and 2024, interest costs relative to GDP rose from their lowest level in twenty years to their highest, and that sovereign interest payments now exceed aggregate OECD defense spending. The compounding effect of this repricing will propagate through government budgets over the next three to five years, further entrenching the deficit–debt spiral described above.</w:t>
      </w:r>
    </w:p>
    <w:p>
      <w:pPr>
        <w:pStyle w:val="Heading1"/>
        <w:spacing w:before="300" w:after="200"/>
      </w:pPr>
      <w:r>
        <w:rPr>
          <w:b/>
          <w:bCs/>
        </w:rPr>
        <w:t xml:space="preserve">3. Structural Drivers of Irreversible Debt Expansion</w:t>
      </w:r>
    </w:p>
    <w:p>
      <w:pPr>
        <w:pStyle w:val="Heading2"/>
        <w:spacing w:before="300" w:after="200"/>
      </w:pPr>
      <w:r>
        <w:rPr>
          <w:b/>
          <w:bCs/>
        </w:rPr>
        <w:t xml:space="preserve">3.1 Post-Pandemic Fiscal Legacies</w:t>
      </w:r>
    </w:p>
    <w:p>
      <w:pPr>
        <w:spacing w:after="180" w:line="360"/>
        <w:jc w:val="both"/>
      </w:pPr>
      <w:r>
        <w:rPr>
          <w:rFonts w:ascii="Times New Roman" w:cs="Times New Roman" w:eastAsia="Times New Roman" w:hAnsi="Times New Roman"/>
          <w:sz w:val="24"/>
          <w:szCs w:val="24"/>
        </w:rPr>
        <w:t xml:space="preserve">The COVID-19 pandemic catalyzed the most synchronized and aggressive fiscal expansion in modern history. Governments worldwide deployed subsidies, transfer payments, healthcare expenditures, and business support programs that added trillions of dollars to sovereign balance sheets within months. While much of this spending was temporary in design, its fiscal consequences have proven durable. The IMF attributes the persistently high global fiscal deficit in part to “legacy costs from COVID-19—such as subsidies and social benefits” that have become politically embedded in government budgets. Programs created as emergency measures acquired constituencies that resist their removal, a well-documented phenomenon in public choice theory known as the ratchet effect.</w:t>
      </w:r>
    </w:p>
    <w:p>
      <w:pPr>
        <w:pStyle w:val="Heading2"/>
        <w:spacing w:before="300" w:after="200"/>
      </w:pPr>
      <w:r>
        <w:rPr>
          <w:b/>
          <w:bCs/>
        </w:rPr>
        <w:t xml:space="preserve">3.2 Geopolitical Fragmentation and Defense Spending</w:t>
      </w:r>
    </w:p>
    <w:p>
      <w:pPr>
        <w:spacing w:after="180" w:line="360"/>
        <w:jc w:val="both"/>
      </w:pPr>
      <w:r>
        <w:rPr>
          <w:rFonts w:ascii="Times New Roman" w:cs="Times New Roman" w:eastAsia="Times New Roman" w:hAnsi="Times New Roman"/>
          <w:sz w:val="24"/>
          <w:szCs w:val="24"/>
        </w:rPr>
        <w:t xml:space="preserve">The post-2022 geopolitical environment has imposed additional fiscal pressures that compound the pandemic legacy. NATO members have accelerated defense spending toward or beyond the 2% of GDP guideline; Indo-Pacific nations have expanded military budgets in response to regional tensions; and several major economies have initiated industrial policy programs—semiconductor subsidies, energy transition investments, supply chain diversification—that represent open-ended fiscal commitments. These expenditures are not cyclical; they represent a structural shift in the composition of government spending that will persist regardless of economic conditions. The resulting fiscal pressure falls on governments already burdened by pandemic-era debt, compounding the refinancing challenge outlined in Section 2.3.</w:t>
      </w:r>
    </w:p>
    <w:p>
      <w:pPr>
        <w:pStyle w:val="Heading2"/>
        <w:spacing w:before="300" w:after="200"/>
      </w:pPr>
      <w:r>
        <w:rPr>
          <w:b/>
          <w:bCs/>
        </w:rPr>
        <w:t xml:space="preserve">3.3 Demographic Headwinds and Entitlement Obligations</w:t>
      </w:r>
    </w:p>
    <w:p>
      <w:pPr>
        <w:spacing w:after="180" w:line="360"/>
        <w:jc w:val="both"/>
      </w:pPr>
      <w:r>
        <w:rPr>
          <w:rFonts w:ascii="Times New Roman" w:cs="Times New Roman" w:eastAsia="Times New Roman" w:hAnsi="Times New Roman"/>
          <w:sz w:val="24"/>
          <w:szCs w:val="24"/>
        </w:rPr>
        <w:t xml:space="preserve">Across the OECD, aging populations are driving relentless increases in pension, healthcare, and social care expenditures. The dependency ratio—the proportion of retirees to working-age adults—is deteriorating in virtually every advanced economy and in many emerging markets, most notably China. These obligations are legally binding and politically sacrosanct; they represent the most intractable component of the structural deficit. Unlike discretionary spending, which can theoretically be reduced by policy choice, entitlement obligations are actuarially determined and grow automatically with demographic trends. The interaction between aging-driven expenditure growth and rising debt service costs creates what fiscal theorists term a “double squeeze” on government budgets, leaving progressively less fiscal space for productive investment.</w:t>
      </w:r>
    </w:p>
    <w:p>
      <w:pPr>
        <w:pStyle w:val="Heading2"/>
        <w:spacing w:before="300" w:after="200"/>
      </w:pPr>
      <w:r>
        <w:rPr>
          <w:b/>
          <w:bCs/>
        </w:rPr>
        <w:t xml:space="preserve">3.4 The Crowding-Out Hypothesis: Empirical Evidence</w:t>
      </w:r>
    </w:p>
    <w:p>
      <w:pPr>
        <w:spacing w:after="180" w:line="360"/>
        <w:jc w:val="both"/>
      </w:pPr>
      <w:r>
        <w:rPr>
          <w:rFonts w:ascii="Times New Roman" w:cs="Times New Roman" w:eastAsia="Times New Roman" w:hAnsi="Times New Roman"/>
          <w:sz w:val="24"/>
          <w:szCs w:val="24"/>
        </w:rPr>
        <w:t xml:space="preserve">The IMF’s analysis provides direct evidence for the crowding-out effect: as public debt has risen, private debt in many advanced economies has fallen—not because households and firms have voluntarily deleveraged, but because heavy government borrowing has “limited credit availability or raised its cost for the private sector.” This represents a critical misallocation of capital. Sovereign debt, particularly when used to finance current consumption and debt service rather than productive investment, displaces private sector borrowing that might otherwise fund innovation, capital formation, and productivity growth. The result is a gradual degradation of the economy’s capacity to generate the real output needed to service the expanding debt stock—a feedback loop that operates on a slower timescale than the interest rate spiral but is no less pernicious.</w:t>
      </w:r>
    </w:p>
    <w:p>
      <w:pPr>
        <w:spacing w:after="180" w:line="360"/>
        <w:jc w:val="both"/>
      </w:pPr>
      <w:r>
        <w:rPr>
          <w:rFonts w:ascii="Times New Roman" w:cs="Times New Roman" w:eastAsia="Times New Roman" w:hAnsi="Times New Roman"/>
          <w:sz w:val="24"/>
          <w:szCs w:val="24"/>
        </w:rPr>
        <w:t xml:space="preserve">The OECD’s data on corporate bond markets reinforces this concern. Since 2008, cumulative corporate bond issuance exceeded the pre-crisis trend by approximately $12.9 trillion, while corporate investment fell $8.4 trillion below trend. Rather than funding productive capacity expansion, corporate borrowing during the low-rate era was disproportionately directed toward financial operations—share buybacks, dividend recapitalizations, and debt refinancing—effectively severing the historical link between borrowing and investment. This “financialization” of corporate debt represents a parallel pathology to sovereign debt expansion: borrowing that generates financial returns for incumbents without expanding the productive capacity of the economy.</w:t>
      </w:r>
    </w:p>
    <w:p>
      <w:pPr>
        <w:pStyle w:val="Heading1"/>
        <w:spacing w:before="300" w:after="200"/>
      </w:pPr>
      <w:r>
        <w:rPr>
          <w:b/>
          <w:bCs/>
        </w:rPr>
        <w:t xml:space="preserve">4. A Taxonomy of Inverse Positioning Against Global Debt Expansion</w:t>
      </w:r>
    </w:p>
    <w:p>
      <w:pPr>
        <w:spacing w:after="180" w:line="360"/>
        <w:jc w:val="both"/>
      </w:pPr>
      <w:r>
        <w:rPr>
          <w:rFonts w:ascii="Times New Roman" w:cs="Times New Roman" w:eastAsia="Times New Roman" w:hAnsi="Times New Roman"/>
          <w:sz w:val="24"/>
          <w:szCs w:val="24"/>
        </w:rPr>
        <w:t xml:space="preserve">To “short the increase in world debt” is, at its most fundamental level, to position oneself to profit from—or be protected against—the consequences of unsustainable debt accumulation. Those consequences manifest through multiple transmission channels, each of which admits distinct positioning strategies. We identify four primary channels and their corresponding inverse positions.</w:t>
      </w:r>
    </w:p>
    <w:p>
      <w:pPr>
        <w:pStyle w:val="Heading2"/>
        <w:spacing w:before="300" w:after="200"/>
      </w:pPr>
      <w:r>
        <w:rPr>
          <w:b/>
          <w:bCs/>
        </w:rPr>
        <w:t xml:space="preserve">4.1 Channel I: Bond Price Depreciation (The Yield Expansion Thesis)</w:t>
      </w:r>
    </w:p>
    <w:p>
      <w:pPr>
        <w:spacing w:after="180" w:line="360"/>
        <w:jc w:val="both"/>
      </w:pPr>
      <w:r>
        <w:rPr>
          <w:rFonts w:ascii="Times New Roman" w:cs="Times New Roman" w:eastAsia="Times New Roman" w:hAnsi="Times New Roman"/>
          <w:sz w:val="24"/>
          <w:szCs w:val="24"/>
        </w:rPr>
        <w:t xml:space="preserve">The most direct consequence of rising debt issuance is increased supply pressure in bond markets. When sovereign borrowing exceeds the organic demand from institutional investors, pension funds, and foreign central banks, bond prices must decline (and yields must rise) to clear the market. The OECD notes that central bank holdings of domestic sovereign bonds in OECD countries fell from 29% of outstanding debt in 2021 to 19% in 2024, as quantitative tightening reversed the accommodative policies of the pandemic era. This withdrawal of price-insensitive demand forces bonds into the hands of more price-sensitive private buyers, increasing yield volatility and creating structural pressure for higher term premia.</w:t>
      </w:r>
    </w:p>
    <w:p>
      <w:pPr>
        <w:spacing w:after="180" w:line="360"/>
        <w:jc w:val="both"/>
      </w:pPr>
      <w:r>
        <w:rPr>
          <w:rFonts w:ascii="Times New Roman" w:cs="Times New Roman" w:eastAsia="Times New Roman" w:hAnsi="Times New Roman"/>
          <w:b/>
          <w:bCs/>
          <w:sz w:val="24"/>
          <w:szCs w:val="24"/>
        </w:rPr>
        <w:t xml:space="preserve">Positioning instruments: </w:t>
      </w:r>
      <w:r>
        <w:rPr>
          <w:rFonts w:ascii="Times New Roman" w:cs="Times New Roman" w:eastAsia="Times New Roman" w:hAnsi="Times New Roman"/>
          <w:sz w:val="24"/>
          <w:szCs w:val="24"/>
        </w:rPr>
        <w:t xml:space="preserve">Inverse Treasury ETFs provide the most accessible vehicle for retail and institutional investors. ProShares TBF offers -1x daily exposure to 20+ year US Treasuries; TBT provides -2x leverage; Direxion TMV offers -3x. For intermediate-duration exposure, TBX targets the 7–10 year segment. These instruments profit when bond prices fall (i.e., when yields rise). Treasury futures on the CME provide more precise duration targeting and superior capital efficiency for institutional investors. Credit default swaps on sovereign debt of specific countries allow targeted exposure to individual sovereign credit risk.</w:t>
      </w:r>
    </w:p>
    <w:p>
      <w:pPr>
        <w:spacing w:after="180" w:line="360"/>
        <w:jc w:val="both"/>
      </w:pPr>
      <w:r>
        <w:rPr>
          <w:rFonts w:ascii="Times New Roman" w:cs="Times New Roman" w:eastAsia="Times New Roman" w:hAnsi="Times New Roman"/>
          <w:b/>
          <w:bCs/>
          <w:i/>
          <w:iCs/>
          <w:sz w:val="24"/>
          <w:szCs w:val="24"/>
        </w:rPr>
        <w:t xml:space="preserve">Critical caveat: </w:t>
      </w:r>
      <w:r>
        <w:rPr>
          <w:rFonts w:ascii="Times New Roman" w:cs="Times New Roman" w:eastAsia="Times New Roman" w:hAnsi="Times New Roman"/>
          <w:sz w:val="24"/>
          <w:szCs w:val="24"/>
        </w:rPr>
        <w:t xml:space="preserve">Inverse and leveraged ETFs are designed for daily rebalancing and suffer from volatility decay (also termed “convexity drag”) over holding periods longer than one day. A -2x ETF held over a period of volatile but ultimately flat bond prices will lose value even though the underlying index is unchanged. These instruments are therefore tactically appropriate for traders with defined time horizons, but structurally inappropriate as long-term holdings. The theoretical thesis may be correct while the instrument decays—a critical distinction.</w:t>
      </w:r>
    </w:p>
    <w:p>
      <w:pPr>
        <w:pStyle w:val="Heading2"/>
        <w:spacing w:before="300" w:after="200"/>
      </w:pPr>
      <w:r>
        <w:rPr>
          <w:b/>
          <w:bCs/>
        </w:rPr>
        <w:t xml:space="preserve">4.2 Channel II: Currency Debasement (The Monetary Inflation Thesis)</w:t>
      </w:r>
    </w:p>
    <w:p>
      <w:pPr>
        <w:spacing w:after="180" w:line="360"/>
        <w:jc w:val="both"/>
      </w:pPr>
      <w:r>
        <w:rPr>
          <w:rFonts w:ascii="Times New Roman" w:cs="Times New Roman" w:eastAsia="Times New Roman" w:hAnsi="Times New Roman"/>
          <w:sz w:val="24"/>
          <w:szCs w:val="24"/>
        </w:rPr>
        <w:t xml:space="preserve">History demonstrates that when sovereign debt becomes unsustainable in nominal terms, governments and central banks have systematically chosen inflation over default. The mechanism is straightforward: by expanding the monetary base, the central bank reduces the real value of outstanding nominal obligations. Debtor nations benefit; creditors suffer a real loss. This dynamic is not theoretical—it is the primary mechanism by which the post-World War II sovereign debt overhang was resolved in the United States, the United Kingdom, and across Europe. The ratio of US federal debt to GDP declined from 119% in 1946 to 33% by 1980, overwhelmingly through nominal GDP growth powered by inflation rather than through fiscal surplus.</w:t>
      </w:r>
    </w:p>
    <w:p>
      <w:pPr>
        <w:spacing w:after="180" w:line="360"/>
        <w:jc w:val="both"/>
      </w:pPr>
      <w:r>
        <w:rPr>
          <w:rFonts w:ascii="Times New Roman" w:cs="Times New Roman" w:eastAsia="Times New Roman" w:hAnsi="Times New Roman"/>
          <w:sz w:val="24"/>
          <w:szCs w:val="24"/>
        </w:rPr>
        <w:t xml:space="preserve">The contemporary analogue is already visible in central bank behavior. Global central banks have been accumulating gold at historically unprecedented rates; notably, gold’s share of global central bank reserves surpassed US Treasuries in late 2025 for the first time since 1996. This represents institutional hedging against the very debasement thesis described here: central banks themselves are diversifying away from fiat-denominated reserve assets.</w:t>
      </w:r>
    </w:p>
    <w:p>
      <w:pPr>
        <w:spacing w:after="180" w:line="360"/>
        <w:jc w:val="both"/>
      </w:pPr>
      <w:r>
        <w:rPr>
          <w:rFonts w:ascii="Times New Roman" w:cs="Times New Roman" w:eastAsia="Times New Roman" w:hAnsi="Times New Roman"/>
          <w:b/>
          <w:bCs/>
          <w:sz w:val="24"/>
          <w:szCs w:val="24"/>
        </w:rPr>
        <w:t xml:space="preserve">Positioning instruments: </w:t>
      </w:r>
      <w:r>
        <w:rPr>
          <w:rFonts w:ascii="Times New Roman" w:cs="Times New Roman" w:eastAsia="Times New Roman" w:hAnsi="Times New Roman"/>
          <w:sz w:val="24"/>
          <w:szCs w:val="24"/>
        </w:rPr>
        <w:t xml:space="preserve">Physical gold and gold-backed securities (such as GLD, IAU, or allocated bullion accounts) represent the time-tested hedge against monetary debasement. Bitcoin and other fixed-supply cryptographic assets constitute a digital analogue—their algorithmically constrained supply schedules make them structurally antithetical to fiat monetary expansion. Foreign exchange positions—shorting currencies of heavily indebted nations against those with stronger fiscal positions or commodity backing—offer additional granularity. Real assets (land, productive infrastructure, commodity-producing enterprises) provide inflation-linked returns that preserve purchasing power during debasement episodes.</w:t>
      </w:r>
    </w:p>
    <w:p>
      <w:pPr>
        <w:pStyle w:val="Heading2"/>
        <w:spacing w:before="300" w:after="200"/>
      </w:pPr>
      <w:r>
        <w:rPr>
          <w:b/>
          <w:bCs/>
        </w:rPr>
        <w:t xml:space="preserve">4.3 Channel III: Credit Deterioration (The Default Cascade Thesis)</w:t>
      </w:r>
    </w:p>
    <w:p>
      <w:pPr>
        <w:spacing w:after="180" w:line="360"/>
        <w:jc w:val="both"/>
      </w:pPr>
      <w:r>
        <w:rPr>
          <w:rFonts w:ascii="Times New Roman" w:cs="Times New Roman" w:eastAsia="Times New Roman" w:hAnsi="Times New Roman"/>
          <w:sz w:val="24"/>
          <w:szCs w:val="24"/>
        </w:rPr>
        <w:t xml:space="preserve">As debt service costs consume an increasing share of government and corporate revenues, the probability of credit events—ranging from technical default to formal restructuring—rises. The crowding-out dynamic identified in Section 3.4 amplifies this risk: as governments absorb a larger share of available credit, marginal corporate and sovereign borrowers face increasingly punitive financing conditions. The OECD observes that low-income and high-risk countries face the most acute refinancing risk, with over half of their debt maturing within three years and more than a quarter falling due within 2025 alone. The potential for cascading credit events—in which one sovereign default or restructuring triggers contagion through interconnected financial markets—represents a tail risk with systemic implications.</w:t>
      </w:r>
    </w:p>
    <w:p>
      <w:pPr>
        <w:spacing w:after="180" w:line="360"/>
        <w:jc w:val="both"/>
      </w:pPr>
      <w:r>
        <w:rPr>
          <w:rFonts w:ascii="Times New Roman" w:cs="Times New Roman" w:eastAsia="Times New Roman" w:hAnsi="Times New Roman"/>
          <w:b/>
          <w:bCs/>
          <w:sz w:val="24"/>
          <w:szCs w:val="24"/>
        </w:rPr>
        <w:t xml:space="preserve">Positioning instruments: </w:t>
      </w:r>
      <w:r>
        <w:rPr>
          <w:rFonts w:ascii="Times New Roman" w:cs="Times New Roman" w:eastAsia="Times New Roman" w:hAnsi="Times New Roman"/>
          <w:sz w:val="24"/>
          <w:szCs w:val="24"/>
        </w:rPr>
        <w:t xml:space="preserve">Credit default swaps on vulnerable sovereign and corporate credits provide direct exposure to default risk. Inverse high-yield bond ETFs (such as ProShares SJB, which tracks the inverse of the Markit iBoxx Liquid High Yield Index) profit from widening credit spreads. Put options on bank equities and financial sector indices provide leveraged exposure to credit deterioration, as financial institutions bear concentrated exposure to sovereign and corporate credit risk. For investors with longer time horizons, maintaining high cash reserves and dry powder to deploy into distressed assets following credit events represents an asymmetric positioning strategy.</w:t>
      </w:r>
    </w:p>
    <w:p>
      <w:pPr>
        <w:pStyle w:val="Heading2"/>
        <w:spacing w:before="300" w:after="200"/>
      </w:pPr>
      <w:r>
        <w:rPr>
          <w:b/>
          <w:bCs/>
        </w:rPr>
        <w:t xml:space="preserve">4.4 Channel IV: Paradigmatic Displacement (The Alternative Value Thesis)</w:t>
      </w:r>
    </w:p>
    <w:p>
      <w:pPr>
        <w:spacing w:after="180" w:line="360"/>
        <w:jc w:val="both"/>
      </w:pPr>
      <w:r>
        <w:rPr>
          <w:rFonts w:ascii="Times New Roman" w:cs="Times New Roman" w:eastAsia="Times New Roman" w:hAnsi="Times New Roman"/>
          <w:sz w:val="24"/>
          <w:szCs w:val="24"/>
        </w:rPr>
        <w:t xml:space="preserve">The three channels described above are financial—they operate within the existing monetary and credit system, seeking to profit from its internal contradictions. The fourth channel is fundamentally different: it involves the construction of alternative value-creation architectures that operate partially or wholly outside the debt-based monetary paradigm. This channel is not a trade; it is an infrastructure project. It represents the deepest and most structurally durable form of “shorting” global debt, because it addresses not the symptoms of debt accumulation but its underlying cause: the absence of productive alternatives to leveraged consumption.</w:t>
      </w:r>
    </w:p>
    <w:p>
      <w:pPr>
        <w:spacing w:after="180" w:line="360"/>
        <w:jc w:val="both"/>
      </w:pPr>
      <w:r>
        <w:rPr>
          <w:rFonts w:ascii="Times New Roman" w:cs="Times New Roman" w:eastAsia="Times New Roman" w:hAnsi="Times New Roman"/>
          <w:sz w:val="24"/>
          <w:szCs w:val="24"/>
        </w:rPr>
        <w:t xml:space="preserve">The thesis proceeds as follows. The debt-based monetary system creates value by issuing claims against future output. When the stock of claims exceeds the economy’s capacity to generate real output, the system becomes unstable. The resolution requires either destroying claims (default/restructuring), diluting claims (inflation), or expanding the productive base faster than claims accumulate (growth). The first two options impose costs on existing participants; the third is the only constructive resolution. But conventional economic growth is constrained by physical resources, demographic limits, and diminishing marginal returns to capital. The frontier of unconstrained productivity expansion lies in intelligence—both artificial and augmented.</w:t>
      </w:r>
    </w:p>
    <w:p>
      <w:pPr>
        <w:spacing w:after="180" w:line="360"/>
        <w:jc w:val="both"/>
      </w:pPr>
      <w:r>
        <w:rPr>
          <w:rFonts w:ascii="Times New Roman" w:cs="Times New Roman" w:eastAsia="Times New Roman" w:hAnsi="Times New Roman"/>
          <w:sz w:val="24"/>
          <w:szCs w:val="24"/>
        </w:rPr>
        <w:t xml:space="preserve">Decentralized autonomous intelligence systems—platforms in which AI agents create, exchange, and compound knowledge-based value without reliance on fiat-denominated credit—represent a structural alternative to the debt-financed growth model. Blockchain-mediated knowledge economies, where intellectual contribution is tokenized, validated, and rewarded through cryptographic mechanisms, create value through productive intelligence rather than leveraged claims on physical output. In this framework, a knowledge economy token—backed by demonstrable AI capability, curated training data, or computational inference capacity—derives its value from what it can do, not from what it borrows against.</w:t>
      </w:r>
    </w:p>
    <w:p>
      <w:pPr>
        <w:spacing w:after="180" w:line="360"/>
        <w:jc w:val="both"/>
      </w:pPr>
      <w:r>
        <w:rPr>
          <w:rFonts w:ascii="Times New Roman" w:cs="Times New Roman" w:eastAsia="Times New Roman" w:hAnsi="Times New Roman"/>
          <w:sz w:val="24"/>
          <w:szCs w:val="24"/>
        </w:rPr>
        <w:t xml:space="preserve">This is not utopian speculation. The architecture for such systems exists in nascent form: decentralized agent marketplaces where autonomous systems transact for services, IPFS-based decentralized exchanges for AI model components, tokenized inference cost markets, and blockchain-based memory persistence systems that allow AI agents to accumulate and transfer learned capabilities as immutable, tradeable assets. The maturation of these systems constitutes an organic, bottom-up expansion of the productive frontier—one that does not require borrowing, does not generate interest obligations, and is not constrained by the physical limits that bind traditional economic output.</w:t>
      </w:r>
    </w:p>
    <w:p>
      <w:pPr>
        <w:spacing w:after="180" w:line="360"/>
        <w:jc w:val="both"/>
      </w:pPr>
      <w:r>
        <w:rPr>
          <w:rFonts w:ascii="Times New Roman" w:cs="Times New Roman" w:eastAsia="Times New Roman" w:hAnsi="Times New Roman"/>
          <w:b/>
          <w:bCs/>
          <w:sz w:val="24"/>
          <w:szCs w:val="24"/>
        </w:rPr>
        <w:t xml:space="preserve">Positioning instruments: </w:t>
      </w:r>
      <w:r>
        <w:rPr>
          <w:rFonts w:ascii="Times New Roman" w:cs="Times New Roman" w:eastAsia="Times New Roman" w:hAnsi="Times New Roman"/>
          <w:sz w:val="24"/>
          <w:szCs w:val="24"/>
        </w:rPr>
        <w:t xml:space="preserve">Direct participation in the construction of decentralized intelligence infrastructure—whether as a developer, node operator, data curator, compute provider, or governance participant—represents the most direct form of exposure to this thesis. Token positions in well-architected decentralized AI platforms provide market-tradeable exposure. Equity investments in companies building the enabling infrastructure (GPU manufacturers, blockchain protocol developers, decentralized storage providers) offer traditional portfolio exposure to the thesis. The construction of one’s own autonomous agent ecosystem—deploying AI systems that generate value, trade with other agents, and compound their capabilities over time—represents both a personal hedge and a contribution to the broader paradigmatic displacement.</w:t>
      </w:r>
    </w:p>
    <w:p>
      <w:pPr>
        <w:pStyle w:val="Heading1"/>
        <w:spacing w:before="300" w:after="200"/>
      </w:pPr>
      <w:r>
        <w:rPr>
          <w:b/>
          <w:bCs/>
        </w:rPr>
        <w:t xml:space="preserve">5. The Kairos Convergence: Temporal Analysis of Inflection Points</w:t>
      </w:r>
    </w:p>
    <w:p>
      <w:pPr>
        <w:spacing w:after="180" w:line="360"/>
        <w:jc w:val="both"/>
      </w:pPr>
      <w:r>
        <w:rPr>
          <w:rFonts w:ascii="Times New Roman" w:cs="Times New Roman" w:eastAsia="Times New Roman" w:hAnsi="Times New Roman"/>
          <w:sz w:val="24"/>
          <w:szCs w:val="24"/>
        </w:rPr>
        <w:t xml:space="preserve">The ancient Greeks distinguished between chronos (χρόνος)—sequential, quantitative time—and kairos (καιρός)—the qualitative moment of opportunity, the decisive instant when conditions converge to create an opening for transformative action. The present moment exhibits the characteristics of a kairos convergence across multiple dimensions of the debt crisis.</w:t>
      </w:r>
    </w:p>
    <w:p>
      <w:pPr>
        <w:spacing w:after="180" w:line="360"/>
        <w:jc w:val="both"/>
      </w:pPr>
      <w:r>
        <w:rPr>
          <w:rFonts w:ascii="Times New Roman" w:cs="Times New Roman" w:eastAsia="Times New Roman" w:hAnsi="Times New Roman"/>
          <w:sz w:val="24"/>
          <w:szCs w:val="24"/>
        </w:rPr>
        <w:t xml:space="preserve">First, the 2025–2027 refinancing wall, during which approximately 45% of OECD sovereign debt and 40% of emerging market debt will mature, creates a discrete window in which the repricing of pandemic-era low-rate issuance will propagate through government budgets. The fiscal impact of this repricing is already underway but will intensify significantly over the next 18 to 24 months.</w:t>
      </w:r>
    </w:p>
    <w:p>
      <w:pPr>
        <w:spacing w:after="180" w:line="360"/>
        <w:jc w:val="both"/>
      </w:pPr>
      <w:r>
        <w:rPr>
          <w:rFonts w:ascii="Times New Roman" w:cs="Times New Roman" w:eastAsia="Times New Roman" w:hAnsi="Times New Roman"/>
          <w:sz w:val="24"/>
          <w:szCs w:val="24"/>
        </w:rPr>
        <w:t xml:space="preserve">Second, the withdrawal of central bank demand—from 29% to 19% of outstanding OECD sovereign bonds between 2021 and 2024—is transferring price-setting power to private investors with higher yield requirements. This structural shift in demand composition has not yet been fully priced into sovereign yield curves.</w:t>
      </w:r>
    </w:p>
    <w:p>
      <w:pPr>
        <w:spacing w:after="180" w:line="360"/>
        <w:jc w:val="both"/>
      </w:pPr>
      <w:r>
        <w:rPr>
          <w:rFonts w:ascii="Times New Roman" w:cs="Times New Roman" w:eastAsia="Times New Roman" w:hAnsi="Times New Roman"/>
          <w:sz w:val="24"/>
          <w:szCs w:val="24"/>
        </w:rPr>
        <w:t xml:space="preserve">Third, the geopolitical diversification away from US Treasury holdings by BRICS nations—with Brazil reducing holdings by 27%, India by 20%, and China by 11% in 2025—signals an accelerating erosion of the “exorbitant privilege” that has historically suppressed US borrowing costs below market-clearing rates. As gold displaces Treasuries in central bank reserve portfolios, the implicit subsidy that foreign reserve accumulation provides to US fiscal policy is diminishing.</w:t>
      </w:r>
    </w:p>
    <w:p>
      <w:pPr>
        <w:spacing w:after="180" w:line="360"/>
        <w:jc w:val="both"/>
      </w:pPr>
      <w:r>
        <w:rPr>
          <w:rFonts w:ascii="Times New Roman" w:cs="Times New Roman" w:eastAsia="Times New Roman" w:hAnsi="Times New Roman"/>
          <w:sz w:val="24"/>
          <w:szCs w:val="24"/>
        </w:rPr>
        <w:t xml:space="preserve">Fourth, the maturation of decentralized AI infrastructure—particularly autonomous agent systems, blockchain-based knowledge economies, and tokenized compute markets—is reaching a critical threshold of capability that makes the alternative value thesis described in Section 4.4 technically viable for the first time. The convergence of these four dynamics—refinancing pressure, demand rotation, reserve diversification, and technological maturation—creates a kairos moment of unusual strategic significance.</w:t>
      </w:r>
    </w:p>
    <w:p>
      <w:pPr>
        <w:pStyle w:val="Heading1"/>
        <w:spacing w:before="300" w:after="200"/>
      </w:pPr>
      <w:r>
        <w:rPr>
          <w:b/>
          <w:bCs/>
        </w:rPr>
        <w:t xml:space="preserve">6. Risk Analysis and Counter-Arguments</w:t>
      </w:r>
    </w:p>
    <w:p>
      <w:pPr>
        <w:pStyle w:val="Heading2"/>
        <w:spacing w:before="300" w:after="200"/>
      </w:pPr>
      <w:r>
        <w:rPr>
          <w:b/>
          <w:bCs/>
        </w:rPr>
        <w:t xml:space="preserve">6.1 The Japan Counter-Example</w:t>
      </w:r>
    </w:p>
    <w:p>
      <w:pPr>
        <w:spacing w:after="180" w:line="360"/>
        <w:jc w:val="both"/>
      </w:pPr>
      <w:r>
        <w:rPr>
          <w:rFonts w:ascii="Times New Roman" w:cs="Times New Roman" w:eastAsia="Times New Roman" w:hAnsi="Times New Roman"/>
          <w:sz w:val="24"/>
          <w:szCs w:val="24"/>
        </w:rPr>
        <w:t xml:space="preserve">Japan has maintained a public debt-to-GDP ratio exceeding 200% for over a decade without experiencing a debt crisis, default, or hyperinflation. Critics of the debt sustainability thesis frequently cite Japan as evidence that high debt ratios can persist indefinitely under certain institutional conditions—particularly a current account surplus, a domestic investor base willing to hold government bonds at low yields, and a central bank willing to absorb excess supply. This counter-example is valid but limited. Japan’s institutional conditions are specific to its political economy and are not replicable across the majority of indebted nations. Moreover, Japan’s experience is arguably one of managed stagnation rather than stability—three decades of sub-trend growth represent a form of slow-motion resolution through economic attrition rather than acute crisis.</w:t>
      </w:r>
    </w:p>
    <w:p>
      <w:pPr>
        <w:pStyle w:val="Heading2"/>
        <w:spacing w:before="300" w:after="200"/>
      </w:pPr>
      <w:r>
        <w:rPr>
          <w:b/>
          <w:bCs/>
        </w:rPr>
        <w:t xml:space="preserve">6.2 Financial Repression as Resolution Mechanism</w:t>
      </w:r>
    </w:p>
    <w:p>
      <w:pPr>
        <w:spacing w:after="180" w:line="360"/>
        <w:jc w:val="both"/>
      </w:pPr>
      <w:r>
        <w:rPr>
          <w:rFonts w:ascii="Times New Roman" w:cs="Times New Roman" w:eastAsia="Times New Roman" w:hAnsi="Times New Roman"/>
          <w:sz w:val="24"/>
          <w:szCs w:val="24"/>
        </w:rPr>
        <w:t xml:space="preserve">Governments possess the capacity to impose financial repression—maintaining negative real interest rates by combining yield curve control with above-target inflation—to gradually erode the real value of debt. This mechanism was employed successfully in the post-war period and may be deployed again. Financial repression would partially invalidate the yield expansion thesis (Channel I) by artificially suppressing bond yields, but it would strongly reinforce the currency debasement thesis (Channel II) and the alternative value thesis (Channel IV). Investors positioned exclusively in inverse bond instruments would suffer; those positioned in real assets, gold, crypto, and productive intelligence infrastructure would benefit.</w:t>
      </w:r>
    </w:p>
    <w:p>
      <w:pPr>
        <w:pStyle w:val="Heading2"/>
        <w:spacing w:before="300" w:after="200"/>
      </w:pPr>
      <w:r>
        <w:rPr>
          <w:b/>
          <w:bCs/>
        </w:rPr>
        <w:t xml:space="preserve">6.3 Technological Deflation</w:t>
      </w:r>
    </w:p>
    <w:p>
      <w:pPr>
        <w:spacing w:after="180" w:line="360"/>
        <w:jc w:val="both"/>
      </w:pPr>
      <w:r>
        <w:rPr>
          <w:rFonts w:ascii="Times New Roman" w:cs="Times New Roman" w:eastAsia="Times New Roman" w:hAnsi="Times New Roman"/>
          <w:sz w:val="24"/>
          <w:szCs w:val="24"/>
        </w:rPr>
        <w:t xml:space="preserve">A sufficiently powerful wave of AI-driven productivity improvement could, in principle, generate real GDP growth rates that exceed the nominal growth rate of debt, resolving the sustainability equation from the denominator rather than the numerator. This is the optimistic scenario in which augmented intelligence creates so much value that debt-to-GDP ratios decline organically. While theoretically possible, this scenario requires that productivity gains be broadly distributed across the economy and translate into government tax revenues—conditions that are by no means guaranteed, particularly if the gains accrue primarily to capital owners rather than labor and are captured by jurisdictions with favorable tax environments.</w:t>
      </w:r>
    </w:p>
    <w:p>
      <w:pPr>
        <w:pStyle w:val="Heading1"/>
        <w:spacing w:before="300" w:after="200"/>
      </w:pPr>
      <w:r>
        <w:rPr>
          <w:b/>
          <w:bCs/>
        </w:rPr>
        <w:t xml:space="preserve">7. Synthesis: A Multi-Layered Positioning Framework</w:t>
      </w:r>
    </w:p>
    <w:p>
      <w:pPr>
        <w:spacing w:after="180" w:line="360"/>
        <w:jc w:val="both"/>
      </w:pPr>
      <w:r>
        <w:rPr>
          <w:rFonts w:ascii="Times New Roman" w:cs="Times New Roman" w:eastAsia="Times New Roman" w:hAnsi="Times New Roman"/>
          <w:sz w:val="24"/>
          <w:szCs w:val="24"/>
        </w:rPr>
        <w:t xml:space="preserve">The analysis presented in this paper supports a multi-layered approach to inverse positioning against the dynamics of global debt expansion. The layers correspond to different time horizons, risk profiles, and philosophical commitments.</w:t>
      </w:r>
    </w:p>
    <w:p>
      <w:pPr>
        <w:spacing w:after="100"/>
      </w:pPr>
    </w:p>
    <w:p>
      <w:pPr>
        <w:spacing w:after="120"/>
        <w:jc w:val="center"/>
      </w:pPr>
      <w:r>
        <w:rPr>
          <w:rFonts w:ascii="Times New Roman" w:cs="Times New Roman" w:eastAsia="Times New Roman" w:hAnsi="Times New Roman"/>
          <w:b/>
          <w:bCs/>
          <w:i/>
          <w:iCs/>
          <w:sz w:val="22"/>
          <w:szCs w:val="22"/>
        </w:rPr>
        <w:t xml:space="preserve">Table 2: Multi-Layered Inverse Positioning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880"/>
        <w:gridCol w:w="252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Layer</w:t>
            </w:r>
          </w:p>
        </w:tc>
        <w:tc>
          <w:tcPr>
            <w:tcW w:type="dxa" w:w="2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Time Horizon</w:t>
            </w:r>
          </w:p>
        </w:tc>
        <w:tc>
          <w:tcPr>
            <w:tcW w:type="dxa" w:w="28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Instruments</w:t>
            </w:r>
          </w:p>
        </w:tc>
        <w:tc>
          <w:tcPr>
            <w:tcW w:type="dxa" w:w="252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Thesis Channel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Tactical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Days to Months</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Inverse Treasury ETFs, Bond Futures, CDS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 Yield Expansion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Strategic</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Months to Years</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Gold, Bitcoin, Real Assets, Short Weak FX</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II: Currency Debasement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Opportunistic</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Event-Driven</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CDS, Inverse HY ETFs, Bank Puts, Cash Reserves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III: Credit Cascade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Structural</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Years to Decades</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Decentralized AI Infrastructure, Knowledge Tokens, Agent Ecosystems</w:t>
            </w:r>
          </w:p>
        </w:tc>
        <w:tc>
          <w:tcPr>
            <w:tcW w:type="dxa" w:w="25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IV: Paradigmatic Displacement</w:t>
            </w:r>
          </w:p>
        </w:tc>
      </w:tr>
    </w:tbl>
    <w:p>
      <w:pPr>
        <w:spacing w:after="200"/>
      </w:pPr>
    </w:p>
    <w:p>
      <w:pPr>
        <w:spacing w:after="180" w:line="360"/>
        <w:jc w:val="both"/>
      </w:pPr>
      <w:r>
        <w:rPr>
          <w:rFonts w:ascii="Times New Roman" w:cs="Times New Roman" w:eastAsia="Times New Roman" w:hAnsi="Times New Roman"/>
          <w:sz w:val="24"/>
          <w:szCs w:val="24"/>
        </w:rPr>
        <w:t xml:space="preserve">The tactical layer is the most conventional and carries the highest instrument-specific risk (volatility decay, timing risk, leverage risk). The strategic layer provides more durable protection but requires patience and tolerance for short-term drawdowns. The opportunistic layer is inherently episodic and requires active monitoring of credit conditions. The structural layer is the most philosophically profound and the most resistant to the specific instrument risks that plague the other layers—but it requires the longest time horizon and the deepest commitment of intellectual and developmental capital.</w:t>
      </w:r>
    </w:p>
    <w:p>
      <w:pPr>
        <w:spacing w:after="180" w:line="360"/>
        <w:jc w:val="both"/>
      </w:pPr>
      <w:r>
        <w:rPr>
          <w:rFonts w:ascii="Times New Roman" w:cs="Times New Roman" w:eastAsia="Times New Roman" w:hAnsi="Times New Roman"/>
          <w:sz w:val="24"/>
          <w:szCs w:val="24"/>
        </w:rPr>
        <w:t xml:space="preserve">The optimal portfolio combines all four layers in proportions calibrated to the investor’s time horizon, risk tolerance, and conviction in each thesis channel. Critically, the layers are not redundant—they hedge different failure modes. If central banks successfully repress yields (invalidating Channel I), Channels II and IV become more valuable. If technological deflation resolves the debt overhang (partially invalidating Channels I–III), Channel IV benefits from the same productivity expansion that drives resolution. The multi-layered framework is, in this sense, antifragile: it benefits from volatility across scenarios rather than requiring a specific outcome.</w:t>
      </w:r>
    </w:p>
    <w:p>
      <w:pPr>
        <w:pStyle w:val="Heading1"/>
        <w:spacing w:before="300" w:after="200"/>
      </w:pPr>
      <w:r>
        <w:rPr>
          <w:b/>
          <w:bCs/>
        </w:rPr>
        <w:t xml:space="preserve">8. Conclusion: Debt as Entropy, Intelligence as Negentropy</w:t>
      </w:r>
    </w:p>
    <w:p>
      <w:pPr>
        <w:spacing w:after="180" w:line="360"/>
        <w:jc w:val="both"/>
      </w:pPr>
      <w:r>
        <w:rPr>
          <w:rFonts w:ascii="Times New Roman" w:cs="Times New Roman" w:eastAsia="Times New Roman" w:hAnsi="Times New Roman"/>
          <w:sz w:val="24"/>
          <w:szCs w:val="24"/>
        </w:rPr>
        <w:t xml:space="preserve">The accumulation of global debt is, at its deepest level, an entropic process. It represents the progressive consumption of future economic capacity to sustain present institutional arrangements. Each dollar of debt that finances current consumption rather than productive investment increases the disorder of the global economic system—reducing its capacity for adaptive response, narrowing the fiscal space available for investment and innovation, and transferring an ever-larger share of output from productive use to debt servicing.</w:t>
      </w:r>
    </w:p>
    <w:p>
      <w:pPr>
        <w:spacing w:after="180" w:line="360"/>
        <w:jc w:val="both"/>
      </w:pPr>
      <w:r>
        <w:rPr>
          <w:rFonts w:ascii="Times New Roman" w:cs="Times New Roman" w:eastAsia="Times New Roman" w:hAnsi="Times New Roman"/>
          <w:sz w:val="24"/>
          <w:szCs w:val="24"/>
        </w:rPr>
        <w:t xml:space="preserve">Intelligence—particularly augmented intelligence that combines human insight with machine capability—represents the negentropic counterforce. Every new capability developed by an autonomous AI agent, every knowledge asset curated and validated through decentralized consensus, every inference computation that generates value without consuming borrowed capital—these are acts of productive creation that expand the real wealth of the system without expanding its claims against the future.</w:t>
      </w:r>
    </w:p>
    <w:p>
      <w:pPr>
        <w:spacing w:after="180" w:line="360"/>
        <w:jc w:val="both"/>
      </w:pPr>
      <w:r>
        <w:rPr>
          <w:rFonts w:ascii="Times New Roman" w:cs="Times New Roman" w:eastAsia="Times New Roman" w:hAnsi="Times New Roman"/>
          <w:sz w:val="24"/>
          <w:szCs w:val="24"/>
        </w:rPr>
        <w:t xml:space="preserve">To “short the increase in world debt” is therefore not merely a financial position. It is a philosophical commitment to the proposition that value can be created through intelligence rather than borrowed from the future through leverage. The financial instruments described in this paper—inverse ETFs, gold, Bitcoin, credit default swaps—are means of translating that commitment into market-tradeable positions. But the deepest expression of the thesis is the construction of systems that generate value through autonomous intelligence: knowledge economies that tokenize productive capability, agent ecosystems that compound their own capacities through recursive learning, and governance frameworks that allocate resources through demonstrated competence rather than inherited wealth or leveraged speculation.</w:t>
      </w:r>
    </w:p>
    <w:p>
      <w:pPr>
        <w:spacing w:after="180" w:line="360"/>
        <w:jc w:val="both"/>
      </w:pPr>
      <w:r>
        <w:rPr>
          <w:rFonts w:ascii="Times New Roman" w:cs="Times New Roman" w:eastAsia="Times New Roman" w:hAnsi="Times New Roman"/>
          <w:sz w:val="24"/>
          <w:szCs w:val="24"/>
        </w:rPr>
        <w:t xml:space="preserve">The global debt crisis is not a problem to be solved within the existing paradigm. It is a signal that the paradigm itself is reaching its limits. The most durable short position against that paradigm is the construction of its successor.</w:t>
      </w:r>
    </w:p>
    <w:p>
      <w:pPr>
        <w:spacing w:after="400"/>
      </w:pPr>
    </w:p>
    <w:p>
      <w:pPr>
        <w:pStyle w:val="Heading1"/>
        <w:spacing w:before="300" w:after="200"/>
      </w:pPr>
      <w:r>
        <w:rPr>
          <w:b/>
          <w:bCs/>
        </w:rPr>
        <w:t xml:space="preserve">References</w:t>
      </w:r>
    </w:p>
    <w:p>
      <w:pPr>
        <w:spacing w:after="180" w:line="360"/>
        <w:jc w:val="both"/>
      </w:pPr>
      <w:r>
        <w:rPr>
          <w:rFonts w:ascii="Times New Roman" w:cs="Times New Roman" w:eastAsia="Times New Roman" w:hAnsi="Times New Roman"/>
          <w:sz w:val="24"/>
          <w:szCs w:val="24"/>
        </w:rPr>
        <w:t xml:space="preserve">Institute of International Finance. (2025). Global Debt Monitor, December 2025. Washington, DC: IIF.</w:t>
      </w:r>
    </w:p>
    <w:p>
      <w:pPr>
        <w:spacing w:after="180" w:line="360"/>
        <w:jc w:val="both"/>
      </w:pPr>
      <w:r>
        <w:rPr>
          <w:rFonts w:ascii="Times New Roman" w:cs="Times New Roman" w:eastAsia="Times New Roman" w:hAnsi="Times New Roman"/>
          <w:sz w:val="24"/>
          <w:szCs w:val="24"/>
        </w:rPr>
        <w:t xml:space="preserve">International Monetary Fund. (2025). Global Debt Database: 2025 Global Debt Monitor. Washington, DC: IMF.</w:t>
      </w:r>
    </w:p>
    <w:p>
      <w:pPr>
        <w:spacing w:after="180" w:line="360"/>
        <w:jc w:val="both"/>
      </w:pPr>
      <w:r>
        <w:rPr>
          <w:rFonts w:ascii="Times New Roman" w:cs="Times New Roman" w:eastAsia="Times New Roman" w:hAnsi="Times New Roman"/>
          <w:sz w:val="24"/>
          <w:szCs w:val="24"/>
        </w:rPr>
        <w:t xml:space="preserve">International Monetary Fund. (2025). “Global Debt Remains Above 235% of World GDP.” IMF Blog, September 17, 2025.</w:t>
      </w:r>
    </w:p>
    <w:p>
      <w:pPr>
        <w:spacing w:after="180" w:line="360"/>
        <w:jc w:val="both"/>
      </w:pPr>
      <w:r>
        <w:rPr>
          <w:rFonts w:ascii="Times New Roman" w:cs="Times New Roman" w:eastAsia="Times New Roman" w:hAnsi="Times New Roman"/>
          <w:sz w:val="24"/>
          <w:szCs w:val="24"/>
        </w:rPr>
        <w:t xml:space="preserve">International Monetary Fund. (2025). “Debt is Higher and Rising Faster in 80 Percent of Global Economy.” Fiscal Monitor, May 2025.</w:t>
      </w:r>
    </w:p>
    <w:p>
      <w:pPr>
        <w:spacing w:after="180" w:line="360"/>
        <w:jc w:val="both"/>
      </w:pPr>
      <w:r>
        <w:rPr>
          <w:rFonts w:ascii="Times New Roman" w:cs="Times New Roman" w:eastAsia="Times New Roman" w:hAnsi="Times New Roman"/>
          <w:sz w:val="24"/>
          <w:szCs w:val="24"/>
        </w:rPr>
        <w:t xml:space="preserve">Organisation for Economic Co-operation and Development. (2025). Global Debt Report 2025: Financing Growth in a Challenging Debt Market Environment. Paris: OECD Publishing.</w:t>
      </w:r>
    </w:p>
    <w:p>
      <w:pPr>
        <w:spacing w:after="180" w:line="360"/>
        <w:jc w:val="both"/>
      </w:pPr>
      <w:r>
        <w:rPr>
          <w:rFonts w:ascii="Times New Roman" w:cs="Times New Roman" w:eastAsia="Times New Roman" w:hAnsi="Times New Roman"/>
          <w:sz w:val="24"/>
          <w:szCs w:val="24"/>
        </w:rPr>
        <w:t xml:space="preserve">United Nations Conference on Trade and Development. (2025). A World of Debt 2025. Geneva: UNCTAD.</w:t>
      </w:r>
    </w:p>
    <w:p>
      <w:pPr>
        <w:spacing w:after="180" w:line="360"/>
        <w:jc w:val="both"/>
      </w:pPr>
      <w:r>
        <w:rPr>
          <w:rFonts w:ascii="Times New Roman" w:cs="Times New Roman" w:eastAsia="Times New Roman" w:hAnsi="Times New Roman"/>
          <w:sz w:val="24"/>
          <w:szCs w:val="24"/>
        </w:rPr>
        <w:t xml:space="preserve">Visual Capitalist. (2025). “Visualizing the State of World Debt in 2025.” November 27, 2025.</w:t>
      </w:r>
    </w:p>
    <w:p>
      <w:pPr>
        <w:spacing w:after="180" w:line="360"/>
        <w:jc w:val="both"/>
      </w:pPr>
      <w:r>
        <w:rPr>
          <w:rFonts w:ascii="Times New Roman" w:cs="Times New Roman" w:eastAsia="Times New Roman" w:hAnsi="Times New Roman"/>
          <w:sz w:val="24"/>
          <w:szCs w:val="24"/>
        </w:rPr>
        <w:t xml:space="preserve">Visual Capitalist / Terzo. (2025). “Global Debt Reached $150 Trillion in 2025 Q1.” September 28, 2025.</w:t>
      </w:r>
    </w:p>
    <w:p>
      <w:pPr>
        <w:spacing w:after="100"/>
      </w:pPr>
    </w:p>
    <w:p>
      <w:pPr>
        <w:spacing w:after="180" w:line="360"/>
        <w:jc w:val="both"/>
      </w:pPr>
      <w:r>
        <w:rPr>
          <w:rFonts w:ascii="Times New Roman" w:cs="Times New Roman" w:eastAsia="Times New Roman" w:hAnsi="Times New Roman"/>
          <w:sz w:val="24"/>
          <w:szCs w:val="24"/>
        </w:rPr>
        <w:t xml:space="preserve">ProShares. (2025). TBF: Short 20+ Year Treasury ETF Prospectus.</w:t>
      </w:r>
    </w:p>
    <w:p>
      <w:pPr>
        <w:spacing w:after="180" w:line="360"/>
        <w:jc w:val="both"/>
      </w:pPr>
      <w:r>
        <w:rPr>
          <w:rFonts w:ascii="Times New Roman" w:cs="Times New Roman" w:eastAsia="Times New Roman" w:hAnsi="Times New Roman"/>
          <w:sz w:val="24"/>
          <w:szCs w:val="24"/>
        </w:rPr>
        <w:t xml:space="preserve">ProShares. (2025). TBX: Short 7–10 Year Treasury ETF Prospectus.</w:t>
      </w:r>
    </w:p>
    <w:p>
      <w:pPr>
        <w:spacing w:after="180" w:line="360"/>
        <w:jc w:val="both"/>
      </w:pPr>
      <w:r>
        <w:rPr>
          <w:rFonts w:ascii="Times New Roman" w:cs="Times New Roman" w:eastAsia="Times New Roman" w:hAnsi="Times New Roman"/>
          <w:sz w:val="24"/>
          <w:szCs w:val="24"/>
        </w:rPr>
        <w:t xml:space="preserve">Guggenheim Investments. (2025). Inverse High Yield Strategy Fund Overview.</w:t>
      </w:r>
    </w:p>
    <w:p>
      <w:pPr>
        <w:spacing w:after="100"/>
      </w:pPr>
    </w:p>
    <w:p>
      <w:pPr>
        <w:spacing w:after="180" w:line="360"/>
        <w:jc w:val="both"/>
      </w:pPr>
      <w:r>
        <w:rPr>
          <w:rFonts w:ascii="Times New Roman" w:cs="Times New Roman" w:eastAsia="Times New Roman" w:hAnsi="Times New Roman"/>
          <w:sz w:val="24"/>
          <w:szCs w:val="24"/>
        </w:rPr>
        <w:t xml:space="preserve">Reinhart, C. M., &amp; Rogoff, K. S. (2009). This Time Is Different: Eight Centuries of Financial Folly. Princeton University Press.</w:t>
      </w:r>
    </w:p>
    <w:p>
      <w:pPr>
        <w:spacing w:after="180" w:line="360"/>
        <w:jc w:val="both"/>
      </w:pPr>
      <w:r>
        <w:rPr>
          <w:rFonts w:ascii="Times New Roman" w:cs="Times New Roman" w:eastAsia="Times New Roman" w:hAnsi="Times New Roman"/>
          <w:sz w:val="24"/>
          <w:szCs w:val="24"/>
        </w:rPr>
        <w:t xml:space="preserve">Reinhart, C. M., &amp; Sbrancia, M. B. (2015). “The Liquidation of Government Debt.” Economic Policy, 30(82), 291–333.</w:t>
      </w:r>
    </w:p>
    <w:p>
      <w:pPr>
        <w:spacing w:after="180" w:line="360"/>
        <w:jc w:val="both"/>
      </w:pPr>
      <w:r>
        <w:rPr>
          <w:rFonts w:ascii="Times New Roman" w:cs="Times New Roman" w:eastAsia="Times New Roman" w:hAnsi="Times New Roman"/>
          <w:sz w:val="24"/>
          <w:szCs w:val="24"/>
        </w:rPr>
        <w:t xml:space="preserve">Minsky, H. P. (1986). Stabilizing an Unstable Economy. New Haven: Yale University Press.</w:t>
      </w:r>
    </w:p>
    <w:p>
      <w:pPr>
        <w:spacing w:after="180" w:line="360"/>
        <w:jc w:val="both"/>
      </w:pPr>
      <w:r>
        <w:rPr>
          <w:rFonts w:ascii="Times New Roman" w:cs="Times New Roman" w:eastAsia="Times New Roman" w:hAnsi="Times New Roman"/>
          <w:sz w:val="24"/>
          <w:szCs w:val="24"/>
        </w:rPr>
        <w:t xml:space="preserve">Taleb, N. N. (2012). Antifragile: Things That Gain from Disorder. New York: Random House.</w:t>
      </w:r>
    </w:p>
    <w:p>
      <w:pPr>
        <w:spacing w:after="180" w:line="360"/>
        <w:jc w:val="both"/>
      </w:pPr>
      <w:r>
        <w:rPr>
          <w:rFonts w:ascii="Times New Roman" w:cs="Times New Roman" w:eastAsia="Times New Roman" w:hAnsi="Times New Roman"/>
          <w:sz w:val="24"/>
          <w:szCs w:val="24"/>
        </w:rPr>
        <w:t xml:space="preserve">Nakamoto, S. (2008). “Bitcoin: A Peer-to-Peer Electronic Cash System.”</w:t>
      </w:r>
    </w:p>
    <w:p>
      <w:pPr>
        <w:spacing w:after="400"/>
      </w:pPr>
    </w:p>
    <w:p>
      <w:pPr>
        <w:pBdr>
          <w:top w:val="single" w:color="CCCCCC" w:sz="6" w:space="8"/>
        </w:pBdr>
        <w:spacing w:after="0"/>
      </w:pPr>
    </w:p>
    <w:p>
      <w:pPr>
        <w:spacing w:before="200" w:after="120"/>
      </w:pPr>
      <w:r>
        <w:rPr>
          <w:rFonts w:ascii="Times New Roman" w:cs="Times New Roman" w:eastAsia="Times New Roman" w:hAnsi="Times New Roman"/>
          <w:b/>
          <w:bCs/>
          <w:color w:val="666666"/>
          <w:sz w:val="20"/>
          <w:szCs w:val="20"/>
        </w:rPr>
        <w:t xml:space="preserve">Disclaimer</w:t>
      </w:r>
    </w:p>
    <w:p>
      <w:pPr>
        <w:spacing w:after="120"/>
      </w:pPr>
      <w:r>
        <w:rPr>
          <w:rFonts w:ascii="Times New Roman" w:cs="Times New Roman" w:eastAsia="Times New Roman" w:hAnsi="Times New Roman"/>
          <w:i/>
          <w:iCs/>
          <w:color w:val="666666"/>
          <w:sz w:val="18"/>
          <w:szCs w:val="18"/>
        </w:rPr>
        <w:t xml:space="preserve">This paper is presented for academic and analytical purposes only. Nothing herein constitutes financial, investment, legal, or tax advice. The author is not a licensed financial advisor, broker, or investment manager. All financial instruments described in this paper carry significant risk of loss, including leveraged and inverse products which may lose substantially more than the initial investment. Past performance is not indicative of future results. Readers should consult qualified financial and legal professionals before making any investment decisions. The views expressed are those of the author and do not represent the views of any institution or organization.</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Structural Dynamics of Global Debt Accumulation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2026-02-22T11:10:33.260Z</dcterms:created>
  <dcterms:modified xsi:type="dcterms:W3CDTF">2026-02-22T11:10:33.260Z</dcterms:modified>
</cp:coreProperties>
</file>

<file path=docProps/custom.xml><?xml version="1.0" encoding="utf-8"?>
<Properties xmlns="http://schemas.openxmlformats.org/officeDocument/2006/custom-properties" xmlns:vt="http://schemas.openxmlformats.org/officeDocument/2006/docPropsVTypes"/>
</file>