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7F8C8D"/>
          <w:sz w:val="28"/>
          <w:szCs w:val="28"/>
        </w:rPr>
        <w:t xml:space="preserve">DEEP TECHNICAL ANALYSIS</w:t>
      </w:r>
    </w:p>
    <w:p>
      <w:pPr>
        <w:spacing w:after="200"/>
        <w:jc w:val="center"/>
      </w:pPr>
      <w:r>
        <w:rPr>
          <w:rFonts w:ascii="Arial" w:cs="Arial" w:eastAsia="Arial" w:hAnsi="Arial"/>
          <w:b/>
          <w:bCs/>
          <w:color w:val="1B4F72"/>
          <w:sz w:val="52"/>
          <w:szCs w:val="52"/>
        </w:rPr>
        <w:t xml:space="preserve">AggLayer Liquidity Handling</w:t>
      </w:r>
    </w:p>
    <w:p>
      <w:pPr>
        <w:spacing w:after="100"/>
        <w:jc w:val="center"/>
      </w:pPr>
      <w:r>
        <w:rPr>
          <w:rFonts w:ascii="Arial" w:cs="Arial" w:eastAsia="Arial" w:hAnsi="Arial"/>
          <w:color w:val="2E86C1"/>
          <w:sz w:val="32"/>
          <w:szCs w:val="32"/>
        </w:rPr>
        <w:t xml:space="preserve">zkEVM-Bridge, AggLayer Contracts &amp; Bridge UI</w:t>
      </w:r>
    </w:p>
    <w:p>
      <w:pPr>
        <w:pBdr>
          <w:bottom w:val="single" w:color="1B4F72" w:sz="6" w:space="1"/>
        </w:pBdr>
        <w:spacing w:after="600"/>
        <w:jc w:val="center"/>
      </w:pPr>
      <w:r>
        <w:rPr>
          <w:sz w:val="12"/>
          <w:szCs w:val="12"/>
        </w:rPr>
        <w:t xml:space="preserve"> </w:t>
      </w:r>
    </w:p>
    <w:p>
      <w:pPr>
        <w:spacing w:after="100"/>
        <w:jc w:val="center"/>
      </w:pPr>
      <w:r>
        <w:rPr>
          <w:color w:val="5D6D7E"/>
          <w:sz w:val="22"/>
          <w:szCs w:val="22"/>
        </w:rPr>
        <w:t xml:space="preserve">Repository: https://github.com/lair3/BDK6</w:t>
      </w:r>
    </w:p>
    <w:p>
      <w:pPr>
        <w:spacing w:after="100"/>
        <w:jc w:val="center"/>
      </w:pPr>
      <w:r>
        <w:rPr>
          <w:color w:val="5D6D7E"/>
          <w:sz w:val="22"/>
          <w:szCs w:val="22"/>
        </w:rPr>
        <w:t xml:space="preserve">LAIR3-BDK6 — Layer 3 Blockchain Deployment Kit v6</w:t>
      </w:r>
    </w:p>
    <w:p>
      <w:pPr>
        <w:spacing w:after="100"/>
        <w:jc w:val="center"/>
      </w:pPr>
      <w:r>
        <w:rPr>
          <w:color w:val="5D6D7E"/>
          <w:sz w:val="22"/>
          <w:szCs w:val="22"/>
        </w:rPr>
        <w:t xml:space="preserve">AggLayer v0.4.4 | Bridge Service v0.6.1 | Fork ID 12 (Banana)</w:t>
      </w:r>
    </w:p>
    <w:p>
      <w:pPr>
        <w:spacing w:after="200"/>
        <w:jc w:val="center"/>
      </w:pPr>
      <w:r>
        <w:rPr>
          <w:color w:val="5D6D7E"/>
          <w:sz w:val="22"/>
          <w:szCs w:val="22"/>
        </w:rPr>
        <w:t xml:space="preserve">Prepared by: codephreak / Professor Codephreak</w:t>
      </w:r>
    </w:p>
    <w:p>
      <w:pPr>
        <w:jc w:val="center"/>
      </w:pPr>
      <w:r>
        <w:rPr>
          <w:color w:val="5D6D7E"/>
          <w:sz w:val="22"/>
          <w:szCs w:val="22"/>
        </w:rPr>
        <w:t xml:space="preserve">March 30,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report provides a comprehensive technical analysis of AggLayer liquidity handling as implemented in the LAIR3-BDK6 repository (https://github.com/lair3/BDK6). BDK6 is a Kurtosis-orchestrated blockchain deployment kit that deploys a complete Polygon CDK stack including the AggLayer v0.4.4 with pessimistic proof integration, the zkEVM bridge service v0.6.1 with unified bridge support, and a patched bridge UI enabling relative URL resolution through HAProxy reverse proxy.</w:t>
      </w:r>
    </w:p>
    <w:p>
      <w:pPr>
        <w:spacing w:after="120"/>
      </w:pPr>
      <w:r>
        <w:t xml:space="preserve">The analysis covers the full liquidity lifecycle: contract deployment and role configuration on L1, bridge service synchronization and Merkle proof generation, AggLayer certificate settlement with pessimistic proof verification, and the claim transaction management subsystem. BDK6 represents a production-grade devnet environment that faithfully reproduces the AggLayer v0.3+ architecture including Local Balance Trees, Local Exit Trees, Nullifier Trees, and the SP1 zkVM / Plonky3 proving pipeline (operating in mock proof mode for development).</w:t>
      </w:r>
    </w:p>
    <w:p>
      <w:pPr>
        <w:spacing w:after="120"/>
      </w:pPr>
      <w:r>
        <w:t xml:space="preserve">Key findings include a nine-role key management architecture derived from a single HD mnemonic, a dual-tree Merkle proof verification system for cross-chain asset claims, an automated ClaimTxManager that continuously monitors and settles bridge deposits, and a HAProxy-based reverse proxy that unifies L1 RPC, L2 RPC, bridge API, and bridge UI under a single HTTP endpoint.</w:t>
      </w:r>
    </w:p>
    <w:p>
      <w:pPr>
        <w:pStyle w:val="Heading1"/>
      </w:pPr>
      <w:r>
        <w:t xml:space="preserve">2. System Architecture Overview</w:t>
      </w:r>
    </w:p>
    <w:p>
      <w:pPr>
        <w:pStyle w:val="Heading2"/>
      </w:pPr>
      <w:r>
        <w:t xml:space="preserve">2.1 Deployment Stack</w:t>
      </w:r>
    </w:p>
    <w:p>
      <w:pPr>
        <w:spacing w:after="120"/>
      </w:pPr>
      <w:r>
        <w:t xml:space="preserve">BDK6 orchestrates a multi-service deployment via Kurtosis Starlark scripts. The main.star entry point sequences six deployment phases: L1 genesis (Geth v1.17.1 + Lighthouse v8.1.3), zkEVM contract deployment (Fork ID 12 / Banana), PostgreSQL databases, CDK central environment (sequencer + prover), bridge infrastructure (AggLayer + bridge service + bridge UI), and observability stack (Prometheus + Grafana + Panoptichain).</w:t>
      </w:r>
    </w:p>
    <w:p>
      <w:pPr>
        <w:spacing w:after="120"/>
      </w:pPr>
      <w:r>
        <w:t xml:space="preserve">The bridge infrastructure phase, orchestrated by cdk_bridge_infra.star, is the core of the liquidity handling system. It deploys three services simultaneously: the zkEVM bridge service (hermeznetwork/zkevm-bridge-service:v0.6.1), the AggLayer node (ghcr.io/agglayer/agglayer-rs:v0.4.4), and the bridge UI (leovct/zkevm-bridge-ui:multi-network) with its HAProxy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agglayer-rs:v0.4.4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4444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JSON-RPC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Service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zkevm-bridge-service:v0.6.1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8080 / 9090</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 gRPC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zkevm-bridge-ui:multi-network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(nginx)</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Proxy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haproxy:3.1-bookworm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(reverse proxy)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postgres:17.4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5432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cdk-erigon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cdk-erigon:v2.64.0-RC10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8123 / 8133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JSON-RPC / 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zkevm-prover:v8.0.0-RC16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50061 / 50071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Sequence Sender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zkevm-sequence-sender:v0.2.4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w:t>
            </w:r>
          </w:p>
        </w:tc>
      </w:tr>
    </w:tbl>
    <w:p>
      <w:pPr>
        <w:spacing w:after="120"/>
      </w:pPr>
      <w:r>
        <w:t xml:space="preserve"/>
      </w:r>
    </w:p>
    <w:p>
      <w:pPr>
        <w:pStyle w:val="Heading2"/>
      </w:pPr>
      <w:r>
        <w:t xml:space="preserve">2.2 Starlark Orchestration Flow</w:t>
      </w:r>
    </w:p>
    <w:p>
      <w:pPr>
        <w:spacing w:after="120"/>
      </w:pPr>
      <w:r>
        <w:t xml:space="preserve">The deployment follows a strict dependency chain. The cdk_bridge_infra.run() function first retrieves deployed contract addresses from the contracts service via the service.get_contract_setup_addresses() helper, which extracts eight critical addresses from /opt/zkevm/combined.json: polygonZkEVMBridgeAddress, rollupAddress, polygonRollupManagerAddress, deploymentRollupManagerBlockNumber, polygonZkEVMGlobalExitRootAddress, polygonZkEVMGlobalExitRootL2Address, polTokenAddress, and admin.</w:t>
      </w:r>
    </w:p>
    <w:p>
      <w:pPr>
        <w:spacing w:after="120"/>
      </w:pPr>
      <w:r>
        <w:t xml:space="preserve">These addresses are injected into TOML configuration templates via Kurtosis template rendering (plan.render_templates), producing the bridge-config.toml, agglayer-config.toml, and .env files that configure each service at runtime. The bridge service and AggLayer are started simultaneously via plan.add_services() with merged configuration dictionaries, followed by sequential startup of the bridge UI and reverse proxy.</w:t>
      </w:r>
    </w:p>
    <w:p>
      <w:pPr>
        <w:pStyle w:val="Heading1"/>
      </w:pPr>
      <w:r>
        <w:t xml:space="preserve">3. Key Management and Role Architecture</w:t>
      </w:r>
    </w:p>
    <w:p>
      <w:pPr>
        <w:spacing w:after="120"/>
      </w:pPr>
      <w:r>
        <w:t xml:space="preserve">BDK6 derives nine distinct roles from a single BIP-39 mnemonic using polycli wallet inspect. Each role has a dedicated Ethereum address and private key, enabling fine-grained access control across the bridge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Address (Prefix)</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Liquidity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0x5b06...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Sequences L2 batches, pays POL bond (refunded on proof)</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Aggregator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0xCae5...</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Aggregates proofs, submits to L1 RollupManager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ClaimTxManager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0x5f5d...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Auto-claims bridge deposits on destination chain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Timelock</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0x130a...</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Governance delay for contract upgrades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0xE34a...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Deploys contracts, funds accounts, grants roles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Loadtest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0x8145...</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workload testing (ERC20 transfers)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0x351e...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Submits pessimistic proofs, granted TRUSTED_AGGREGATOR_ROLE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0x5951...</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Availability Committee member (validium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ProofSigner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0x7569...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Signs proofs for AggLayer verification</w:t>
            </w:r>
          </w:p>
        </w:tc>
      </w:tr>
    </w:tbl>
    <w:p>
      <w:pPr>
        <w:spacing w:after="120"/>
      </w:pPr>
      <w:r>
        <w:t xml:space="preserve"/>
      </w:r>
    </w:p>
    <w:p>
      <w:pPr>
        <w:spacing w:after="120"/>
      </w:pPr>
      <w:r>
        <w:t xml:space="preserve">The contract deployment script (run-contract-setup.sh) performs critical role configuration for liquidity handling. It funds all five liquidity-relevant accounts (admin, sequencer, aggregator, agglayer, claimtxmanager) with 100 ETH each from the L1 preallocated mnemonic. The sequencer approves the rollup contract to spend its POL tokens (up to 10^27 wei) for batch sequencing bonds. The admin grants the AggLayer address the TRUSTED_AGGREGATOR_ROLE on the RollupManager contract using the role hash 0x084e94f375e9d647f87f5b2ceffba1e062c70f6009fdbcf80291e803b5c9edd4, allowing the AggLayer to verify batches and settle proofs.</w:t>
      </w:r>
    </w:p>
    <w:p>
      <w:pPr>
        <w:pStyle w:val="Heading1"/>
      </w:pPr>
      <w:r>
        <w:t xml:space="preserve">4. AggLayer Liquidity Architecture</w:t>
      </w:r>
    </w:p>
    <w:p>
      <w:pPr>
        <w:pStyle w:val="Heading2"/>
      </w:pPr>
      <w:r>
        <w:t xml:space="preserve">4.1 Pessimistic Proof System</w:t>
      </w:r>
    </w:p>
    <w:p>
      <w:pPr>
        <w:spacing w:after="120"/>
      </w:pPr>
      <w:r>
        <w:t xml:space="preserve">The AggLayer v0.4.4 in BDK6 implements the pessimistic proof system, which is the core safety mechanism for cross-chain liquidity. The pessimistic proof cryptographically attests to two invariants: (1) no chain withdraws more than it has deposited, enforced via Local Balance Tree accounting, and (2) a chain can only claim what has been received from a settled L1 state, enforced by verifying inclusion proofs against the L1 Info Tree.</w:t>
      </w:r>
    </w:p>
    <w:p>
      <w:pPr>
        <w:spacing w:after="120"/>
      </w:pPr>
      <w:r>
        <w:t xml:space="preserve">The AggLayer configuration in BDK6 (agglayer-config.toml) enables pessimistic proof with GenerateMockProof = true for devnet operation. In production, this would connect to a real SP1 zkVM prover generating Plonky3-based STARKs. The proof system operates on three Sparse Merkle Trees per connected chain:</w:t>
      </w:r>
    </w:p>
    <w:p>
      <w:pPr>
        <w:spacing w:after="120"/>
      </w:pPr>
      <w:r>
        <w:rPr>
          <w:b/>
          <w:bCs/>
        </w:rPr>
        <w:t xml:space="preserve">Local Exit Tree: </w:t>
      </w:r>
      <w:r>
        <w:t xml:space="preserve">Tracks all messages and token transfers originating from the chain. Each bridge deposit appends a leaf to this tree. The Local Exit Root is the root hash committed to L1.</w:t>
      </w:r>
    </w:p>
    <w:p>
      <w:pPr>
        <w:spacing w:after="120"/>
      </w:pPr>
      <w:r>
        <w:rPr>
          <w:b/>
          <w:bCs/>
        </w:rPr>
        <w:t xml:space="preserve">Local Balance Tree: </w:t>
      </w:r>
      <w:r>
        <w:t xml:space="preserve">Tracks total token balances for the chain. Tokens originating from the chain itself are not tracked (unlimited withdrawal capacity as token supplier). Foreign tokens are tracked to ensure withdrawal amounts never exceed deposit amounts.</w:t>
      </w:r>
    </w:p>
    <w:p>
      <w:pPr>
        <w:spacing w:after="120"/>
      </w:pPr>
      <w:r>
        <w:rPr>
          <w:b/>
          <w:bCs/>
        </w:rPr>
        <w:t xml:space="preserve">Nullifier Tree: </w:t>
      </w:r>
      <w:r>
        <w:t xml:space="preserve">Tracks all imported bridge exits that have been claimed, preventing double-claiming. Each successful claim registers a nullifier entry.</w:t>
      </w:r>
    </w:p>
    <w:p>
      <w:pPr>
        <w:pStyle w:val="Heading2"/>
      </w:pPr>
      <w:r>
        <w:t xml:space="preserve">4.2 Unified Bridge Contract Architecture</w:t>
      </w:r>
    </w:p>
    <w:p>
      <w:pPr>
        <w:spacing w:after="120"/>
      </w:pPr>
      <w:r>
        <w:t xml:space="preserve">The Unified Bridge eliminates wrapped tokens across AggLayer-connected chains. BDK6 deploys the bridge contract via the v2 deployment pipeline (Hardhat scripts: prepareTestnet, createGenesis, deployPolygonZKEVMDeployer, deployContracts, createRollup). The resulting combined.json contains all contract addresses used by the bridge infrastructure.</w:t>
      </w:r>
    </w:p>
    <w:p>
      <w:pPr>
        <w:spacing w:after="120"/>
      </w:pPr>
      <w:r>
        <w:t xml:space="preserve">The bridge contract (PolygonZkEVMBridge) is deployed at a deterministic address shared between L1 and L2. The contract exposes two primary interfaces for liquidity operations:</w:t>
      </w:r>
    </w:p>
    <w:p>
      <w:pPr>
        <w:spacing w:after="120"/>
      </w:pPr>
      <w:r>
        <w:rPr>
          <w:b/>
          <w:bCs/>
        </w:rPr>
        <w:t xml:space="preserve">bridgeAsset(uint32 destNet, address destAddr, uint256 amount, address token, bool forceUpdateGER, bytes permitData): </w:t>
      </w:r>
      <w:r>
        <w:t xml:space="preserve">Initiates a cross-chain asset transfer. Appends an exit leaf to the Local Exit Tree, optionally forces a Global Exit Root update on L1, and emits a BridgeEvent.</w:t>
      </w:r>
    </w:p>
    <w:p>
      <w:pPr>
        <w:spacing w:after="120"/>
      </w:pPr>
      <w:r>
        <w:rPr>
          <w:b/>
          <w:bCs/>
        </w:rPr>
        <w:t xml:space="preserve">claimAsset(bytes32[32] smtProofLocalExitRoot, bytes32[32] smtProofRollupExitRoot, uint256 globalIndex, bytes32 mainExitRoot, bytes32 rollupExitRoot, uint32 origNet, address origAddr, uint32 destNet, address destAddr, uint256 amount, bytes metadata): </w:t>
      </w:r>
      <w:r>
        <w:t xml:space="preserve">Claims a bridged asset on the destination chain. Requires dual Sparse Merkle Tree proofs (local exit root + rollup exit root), verified against the Global Exit Root committed by the AggLayer to L1.</w:t>
      </w:r>
    </w:p>
    <w:p>
      <w:pPr>
        <w:pStyle w:val="Heading2"/>
      </w:pPr>
      <w:r>
        <w:t xml:space="preserve">4.3 Certificate Settlement Pipeline</w:t>
      </w:r>
    </w:p>
    <w:p>
      <w:pPr>
        <w:spacing w:after="120"/>
      </w:pPr>
      <w:r>
        <w:t xml:space="preserve">The AggLayer configuration enables the CertificateSender with a 10-second check interval and 5 maximum retries. Certificates are state commitments from connected chains that the AggLayer settles to L1. The settlement pipeline works as follows:</w:t>
      </w:r>
    </w:p>
    <w:p>
      <w:pPr>
        <w:spacing w:after="120"/>
      </w:pPr>
      <w:r>
        <w:rPr>
          <w:b/>
          <w:bCs/>
        </w:rPr>
        <w:t xml:space="preserve">Step 1 — State Collection: </w:t>
      </w:r>
      <w:r>
        <w:t xml:space="preserve">The AggLayer connects to each chain’s full node RPC (configured via [FullNodeRPCs] with network ID 1 mapping to the L2 RPC endpoint) and collects the latest Local Exit Root, balance changes, and nullifier updates.</w:t>
      </w:r>
    </w:p>
    <w:p>
      <w:pPr>
        <w:spacing w:after="120"/>
      </w:pPr>
      <w:r>
        <w:rPr>
          <w:b/>
          <w:bCs/>
        </w:rPr>
        <w:t xml:space="preserve">Step 2 — Pessimistic Proof Generation: </w:t>
      </w:r>
      <w:r>
        <w:t xml:space="preserve">The AggLayer generates a pessimistic proof (mock in devnet, SP1/Plonky3 in production) attesting that the chain’s withdrawal claims are backed by deposits and that no balance tree invariants are violated.</w:t>
      </w:r>
    </w:p>
    <w:p>
      <w:pPr>
        <w:spacing w:after="120"/>
      </w:pPr>
      <w:r>
        <w:rPr>
          <w:b/>
          <w:bCs/>
        </w:rPr>
        <w:t xml:space="preserve">Step 3 — L1 Settlement: </w:t>
      </w:r>
      <w:r>
        <w:t xml:space="preserve">The AggLayer submits the certificate (containing the proof and state transition data) to the L1 RollupManager contract using its TRUSTED_AGGREGATOR_ROLE. The EthTxManager handles gas pricing with GasPriceMarginFactor = 1, a 2-minute WaitTxToBeMined timeout, and monitoring via 1-second FrequencyToMonitorTxs polling.</w:t>
      </w:r>
    </w:p>
    <w:p>
      <w:pPr>
        <w:spacing w:after="120"/>
      </w:pPr>
      <w:r>
        <w:rPr>
          <w:b/>
          <w:bCs/>
        </w:rPr>
        <w:t xml:space="preserve">Step 4 — Global Exit Root Update: </w:t>
      </w:r>
      <w:r>
        <w:t xml:space="preserve">Upon successful settlement, the GlobalExitRootManager on L1 updates the Global Exit Root, which combines all chains’ Local Exit Roots into a single Merkle tree. This makes the bridged assets claimable on destination chains.</w:t>
      </w:r>
    </w:p>
    <w:p>
      <w:pPr>
        <w:pStyle w:val="Heading1"/>
      </w:pPr>
      <w:r>
        <w:t xml:space="preserve">5. Bridge Service Deep Dive</w:t>
      </w:r>
    </w:p>
    <w:p>
      <w:pPr>
        <w:pStyle w:val="Heading2"/>
      </w:pPr>
      <w:r>
        <w:t xml:space="preserve">5.1 Configuration Analysis</w:t>
      </w:r>
    </w:p>
    <w:p>
      <w:pPr>
        <w:spacing w:after="120"/>
      </w:pPr>
      <w:r>
        <w:t xml:space="preserve">The bridge-config.toml reveals the service’s internal architecture. The synchronizer polls L1 and L2 every 5 seconds (SyncInterval = 5s) in chunks of 100 blocks (SyncChunkSize = 100), indexing all bridge events from the genesis block number recorded in combined.json. The BridgeController uses a PostgreSQL-backed store with a Merkle tree height of 32, supporting up to 2^32 (~4.3 billion) individual bridge deposits.</w:t>
      </w:r>
    </w:p>
    <w:p>
      <w:pPr>
        <w:spacing w:after="120"/>
      </w:pPr>
      <w:r>
        <w:t xml:space="preserve">The bridge server exposes both gRPC (port 9090) and HTTP (port 8080) endpoints with pagination (default 25, max 100 results per page). The HTTP API provides the /bridges/{address} endpoint for querying deposits and the /merkle-proof endpoint for generating Sparse Merkle Tree proofs required for claim transactions.</w:t>
      </w:r>
    </w:p>
    <w:p>
      <w:pPr>
        <w:pStyle w:val="Heading2"/>
      </w:pPr>
      <w:r>
        <w:t xml:space="preserve">5.2 ClaimTxManager Subsystem</w:t>
      </w:r>
    </w:p>
    <w:p>
      <w:pPr>
        <w:spacing w:after="120"/>
      </w:pPr>
      <w:r>
        <w:t xml:space="preserve">The ClaimTxManager is a critical automation component that monitors pending bridge deposits and automatically submits claim transactions on destination chains. BDK6 configures it with: Enabled = true, FrequencyToMonitorTxs = 5s (polling interval for monitoring submitted claim transactions), RetryInterval = 1s (delay between retries on failure), RetryNumber = 10 (maximum retry attempts before giving up on a claim).</w:t>
      </w:r>
    </w:p>
    <w:p>
      <w:pPr>
        <w:spacing w:after="120"/>
      </w:pPr>
      <w:r>
        <w:t xml:space="preserve">The ClaimTxManager uses a dedicated keystore (claimtxmanager.keystore) stored in /opt/zkevm/ and extracted from the contracts service during deployment. This keystore is mounted into the bridge service container at /etc/zkevm/claimtxmanager.keystore and used to sign claim transactions on behalf of users.</w:t>
      </w:r>
    </w:p>
    <w:p>
      <w:pPr>
        <w:pStyle w:val="Heading2"/>
      </w:pPr>
      <w:r>
        <w:t xml:space="preserve">5.3 Database Schema</w:t>
      </w:r>
    </w:p>
    <w:p>
      <w:pPr>
        <w:spacing w:after="120"/>
      </w:pPr>
      <w:r>
        <w:t xml:space="preserve">The bridge service uses a dedicated PostgreSQL database (bridge_db) with user bridge_user. The database stores the synchronized bridge event index, Merkle tree state, deposit metadata (amounts, origin/destination networks, claim status), and proof generation data. PostgreSQL is configured with a maximum of 20 connections (MaxConns = 20) and separate read-only connections for the BridgeServer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bridge_db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bridge_user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event index, Merkle trees, deposit tracking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state_db</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state_user</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L2 state storage (sequencer)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prover_db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prover_user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generation state and batch data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event_db</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event_user</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 synchronization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pool_db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pool_user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pool management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pool_manager_db</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pool_manager_user</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Pool manager state (cdk-erigon)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aggregator_db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aggregator_user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Aggregator state and proof tracking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dac_db</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dac_user</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Availability Committee state</w:t>
            </w:r>
          </w:p>
        </w:tc>
      </w:tr>
    </w:tbl>
    <w:p>
      <w:pPr>
        <w:spacing w:after="120"/>
      </w:pPr>
      <w:r>
        <w:t xml:space="preserve"/>
      </w:r>
    </w:p>
    <w:p>
      <w:pPr>
        <w:pStyle w:val="Heading1"/>
      </w:pPr>
      <w:r>
        <w:t xml:space="preserve">6. Bridge UI and Reverse Proxy Architecture</w:t>
      </w:r>
    </w:p>
    <w:p>
      <w:pPr>
        <w:pStyle w:val="Heading2"/>
      </w:pPr>
      <w:r>
        <w:t xml:space="preserve">6.1 Bridge UI Patches</w:t>
      </w:r>
    </w:p>
    <w:p>
      <w:pPr>
        <w:spacing w:after="120"/>
      </w:pPr>
      <w:r>
        <w:t xml:space="preserve">BDK6 uses a custom-built bridge UI image (leovct/zkevm-bridge-ui:multi-network) built from the upstream 0xPolygonHermez/zkevm-bridge-ui with two critical patches applied during Docker build:</w:t>
      </w:r>
    </w:p>
    <w:p>
      <w:pPr>
        <w:spacing w:after="120"/>
      </w:pPr>
      <w:r>
        <w:rPr>
          <w:b/>
          <w:bCs/>
        </w:rPr>
        <w:t xml:space="preserve">env.ts.diff: </w:t>
      </w:r>
      <w:r>
        <w:t xml:space="preserve">Introduces a VITE_RESOLVE_RELATIVE_URLS environment variable. When enabled, the UI prepends window.location.origin to the L1 RPC URL, L2 RPC URL, and Bridge API URL, converting relative paths (/l1rpc, /l2rpc, /bridgeservice) into absolute URLs. This also relaxes Zod URL validation from z.string().url() to z.string() for these three fields, allowing path-only values.</w:t>
      </w:r>
    </w:p>
    <w:p>
      <w:pPr>
        <w:spacing w:after="120"/>
      </w:pPr>
      <w:r>
        <w:rPr>
          <w:b/>
          <w:bCs/>
        </w:rPr>
        <w:t xml:space="preserve">deploy.sh.diff: </w:t>
      </w:r>
      <w:r>
        <w:t xml:space="preserve">Adds RESOLVE_RELATIVE_URLS to the deploy-time environment variable injection, ensuring the new configuration option is available in the Vite build output.</w:t>
      </w:r>
    </w:p>
    <w:p>
      <w:pPr>
        <w:pStyle w:val="Heading2"/>
      </w:pPr>
      <w:r>
        <w:t xml:space="preserve">6.2 HAProxy Reverse Proxy</w:t>
      </w:r>
    </w:p>
    <w:p>
      <w:pPr>
        <w:spacing w:after="120"/>
      </w:pPr>
      <w:r>
        <w:t xml:space="preserve">The bridge proxy (HAProxy 3.1) is the critical component that enables the relative URL architecture. It listens on port 80 and routes requests based on URL path prefixes: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 Prefix</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Service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/l1rpc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el-1-geth-lighthouse:8545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Ethereum JSON-RPC (Geth)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/l2rpc</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cdk-erigon-node:8123</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L2 zkEVM JSON-RPC (cdk-erigon)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/bridgeservice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zkevm-bridge-service:8080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REST API (deposits, proofs)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(default)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zkevm-bridge-ui:80</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web UI (nginx + Vite SPA)</w:t>
            </w:r>
          </w:p>
        </w:tc>
      </w:tr>
    </w:tbl>
    <w:p>
      <w:pPr>
        <w:spacing w:after="120"/>
      </w:pPr>
      <w:r>
        <w:t xml:space="preserve"/>
      </w:r>
    </w:p>
    <w:p>
      <w:pPr>
        <w:spacing w:after="120"/>
      </w:pPr>
      <w:r>
        <w:t xml:space="preserve">This architecture solves a critical deployment challenge: in Kurtosis enclaves, each service gets a dynamic IP address and port. By routing all traffic through a single HAProxy endpoint, the bridge UI can use relative URLs that resolve against its own origin, eliminating the need for hardcoded RPC endpoints. The proxy also sets permissive CORS headers (Access-Control-Allow-Origin: *) to enable browser-based bridge interactions.</w:t>
      </w:r>
    </w:p>
    <w:p>
      <w:pPr>
        <w:pStyle w:val="Heading2"/>
      </w:pPr>
      <w:r>
        <w:t xml:space="preserve">6.3 Environment Configuration Chain</w:t>
      </w:r>
    </w:p>
    <w:p>
      <w:pPr>
        <w:spacing w:after="120"/>
      </w:pPr>
      <w:r>
        <w:t xml:space="preserve">The bridge UI receives its configuration through a multi-stage injection pipeline. The .env template is rendered by Kurtosis with contract addresses from combined.json. The resulting file is mounted into the bridge UI container at /etc/zkevm/.env. At container startup, the deploy.sh script sources this file and injects the variables into a Vite .env file that the SPA reads at build time. Key configuration values include ETHEREUM_BRIDGE_CONTRACT_ADDRESS, ETHEREUM_ROLLUP_MANAGER_ADDRESS, POLYGON_ZK_EVM_BRIDGE_CONTRACT_ADDRESS, and POLYGON_ZK_EVM_NETWORK_ID (set to 1, identifying the L2 network).</w:t>
      </w:r>
    </w:p>
    <w:p>
      <w:pPr>
        <w:pStyle w:val="Heading1"/>
      </w:pPr>
      <w:r>
        <w:t xml:space="preserve">7. Liquidity Flow Analysis</w:t>
      </w:r>
    </w:p>
    <w:p>
      <w:pPr>
        <w:pStyle w:val="Heading2"/>
      </w:pPr>
      <w:r>
        <w:t xml:space="preserve">7.1 L1 → L2 Deposit Flow</w:t>
      </w:r>
    </w:p>
    <w:p>
      <w:pPr>
        <w:spacing w:after="120"/>
      </w:pPr>
      <w:r>
        <w:t xml:space="preserve">The bridge workload script (templates/workload/bridge.sh) demonstrates the complete L1 to L2 deposit flow used in BDK6:</w:t>
      </w:r>
    </w:p>
    <w:p>
      <w:pPr>
        <w:spacing w:after="120"/>
      </w:pPr>
      <w:r>
        <w:rPr>
          <w:b/>
          <w:bCs/>
        </w:rPr>
        <w:t xml:space="preserve">1. ERC20 Deployment: </w:t>
      </w:r>
      <w:r>
        <w:t xml:space="preserve">Deploy an ERC20PermitMock contract on L1 using forge create, pre-minting 10^24 tokens to the admin address.</w:t>
      </w:r>
    </w:p>
    <w:p>
      <w:pPr>
        <w:spacing w:after="120"/>
      </w:pPr>
      <w:r>
        <w:rPr>
          <w:b/>
          <w:bCs/>
        </w:rPr>
        <w:t xml:space="preserve">2. Approval: </w:t>
      </w:r>
      <w:r>
        <w:t xml:space="preserve">Call approve() on the ERC20 contract, granting the bridge contract (zkevm_bridge_address) permission to spend 100 tokens.</w:t>
      </w:r>
    </w:p>
    <w:p>
      <w:pPr>
        <w:spacing w:after="120"/>
      </w:pPr>
      <w:r>
        <w:rPr>
          <w:b/>
          <w:bCs/>
        </w:rPr>
        <w:t xml:space="preserve">3. Bridge Deposit: </w:t>
      </w:r>
      <w:r>
        <w:t xml:space="preserve">Call bridgeAsset() on the bridge contract with parameters: destNet=1 (L2 network ID), destAddr=admin address, amount=10, token=ERC20 contract address, forceUpdateGER=true, permitData=0x.</w:t>
      </w:r>
    </w:p>
    <w:p>
      <w:pPr>
        <w:spacing w:after="120"/>
      </w:pPr>
      <w:r>
        <w:rPr>
          <w:b/>
          <w:bCs/>
        </w:rPr>
        <w:t xml:space="preserve">4. Exit Leaf Appendage: </w:t>
      </w:r>
      <w:r>
        <w:t xml:space="preserve">The bridge contract appends an exit leaf to L1’s Local Exit Tree and emits a deposit event.</w:t>
      </w:r>
    </w:p>
    <w:p>
      <w:pPr>
        <w:spacing w:after="120"/>
      </w:pPr>
      <w:r>
        <w:rPr>
          <w:b/>
          <w:bCs/>
        </w:rPr>
        <w:t xml:space="preserve">5. GER Update: </w:t>
      </w:r>
      <w:r>
        <w:t xml:space="preserve">With forceUpdateGER=true, the bridge contract immediately updates the Global Exit Root Manager, making the deposit provable.</w:t>
      </w:r>
    </w:p>
    <w:p>
      <w:pPr>
        <w:spacing w:after="120"/>
      </w:pPr>
      <w:r>
        <w:rPr>
          <w:b/>
          <w:bCs/>
        </w:rPr>
        <w:t xml:space="preserve">6. L2 Sync: </w:t>
      </w:r>
      <w:r>
        <w:t xml:space="preserve">The bridge synchronizer detects the new deposit via its 5-second polling interval and indexes it in the bridge_db.</w:t>
      </w:r>
    </w:p>
    <w:p>
      <w:pPr>
        <w:spacing w:after="120"/>
      </w:pPr>
      <w:r>
        <w:rPr>
          <w:b/>
          <w:bCs/>
        </w:rPr>
        <w:t xml:space="preserve">7. Auto-Claim: </w:t>
      </w:r>
      <w:r>
        <w:t xml:space="preserve">The ClaimTxManager detects the ready_for_claim deposit and automatically submits a claimAsset() transaction on L2.</w:t>
      </w:r>
    </w:p>
    <w:p>
      <w:pPr>
        <w:pStyle w:val="Heading2"/>
      </w:pPr>
      <w:r>
        <w:t xml:space="preserve">7.2 L2 → L1 Withdrawal Flow</w:t>
      </w:r>
    </w:p>
    <w:p>
      <w:pPr>
        <w:spacing w:after="120"/>
      </w:pPr>
      <w:r>
        <w:t xml:space="preserve">Withdrawals from L2 to L1 follow a similar pattern but require additional steps for proof generation and AggLayer settlement:</w:t>
      </w:r>
    </w:p>
    <w:p>
      <w:pPr>
        <w:spacing w:after="120"/>
      </w:pPr>
      <w:r>
        <w:rPr>
          <w:b/>
          <w:bCs/>
        </w:rPr>
        <w:t xml:space="preserve">1. L2 Bridge Deposit: </w:t>
      </w:r>
      <w:r>
        <w:t xml:space="preserve">Call bridgeAsset() on L2 with destNet=0 (L1/Ethereum network ID).</w:t>
      </w:r>
    </w:p>
    <w:p>
      <w:pPr>
        <w:spacing w:after="120"/>
      </w:pPr>
      <w:r>
        <w:rPr>
          <w:b/>
          <w:bCs/>
        </w:rPr>
        <w:t xml:space="preserve">2. Batch Sequencing: </w:t>
      </w:r>
      <w:r>
        <w:t xml:space="preserve">The sequencer includes the bridge transaction in an L2 batch, which is sequenced to L1.</w:t>
      </w:r>
    </w:p>
    <w:p>
      <w:pPr>
        <w:spacing w:after="120"/>
      </w:pPr>
      <w:r>
        <w:rPr>
          <w:b/>
          <w:bCs/>
        </w:rPr>
        <w:t xml:space="preserve">3. Proof Generation: </w:t>
      </w:r>
      <w:r>
        <w:t xml:space="preserve">The prover generates a validity proof for the batch containing the withdrawal.</w:t>
      </w:r>
    </w:p>
    <w:p>
      <w:pPr>
        <w:spacing w:after="120"/>
      </w:pPr>
      <w:r>
        <w:rPr>
          <w:b/>
          <w:bCs/>
        </w:rPr>
        <w:t xml:space="preserve">4. AggLayer Settlement: </w:t>
      </w:r>
      <w:r>
        <w:t xml:space="preserve">The AggLayer verifies the batch proof, generates a pessimistic proof ensuring withdrawal consistency, and submits the certificate to L1.</w:t>
      </w:r>
    </w:p>
    <w:p>
      <w:pPr>
        <w:spacing w:after="120"/>
      </w:pPr>
      <w:r>
        <w:rPr>
          <w:b/>
          <w:bCs/>
        </w:rPr>
        <w:t xml:space="preserve">5. GER Update: </w:t>
      </w:r>
      <w:r>
        <w:t xml:space="preserve">The L1 Global Exit Root is updated to include the new L2 Local Exit Root.</w:t>
      </w:r>
    </w:p>
    <w:p>
      <w:pPr>
        <w:spacing w:after="120"/>
      </w:pPr>
      <w:r>
        <w:rPr>
          <w:b/>
          <w:bCs/>
        </w:rPr>
        <w:t xml:space="preserve">6. Merkle Proof Generation: </w:t>
      </w:r>
      <w:r>
        <w:t xml:space="preserve">The bridge API generates dual SMT proofs (merkle_proof + rollup_merkle_proof) via the /merkle-proof endpoint.</w:t>
      </w:r>
    </w:p>
    <w:p>
      <w:pPr>
        <w:spacing w:after="120"/>
      </w:pPr>
      <w:r>
        <w:rPr>
          <w:b/>
          <w:bCs/>
        </w:rPr>
        <w:t xml:space="preserve">7. L1 Claim: </w:t>
      </w:r>
      <w:r>
        <w:t xml:space="preserve">The ClaimTxManager or manual claim script calls claimAsset() on L1 with the dual proofs, global index, exit roots, and deposit metadata.</w:t>
      </w:r>
    </w:p>
    <w:p>
      <w:pPr>
        <w:pStyle w:val="Heading2"/>
      </w:pPr>
      <w:r>
        <w:t xml:space="preserve">7.3 Manual Claim Procedure</w:t>
      </w:r>
    </w:p>
    <w:p>
      <w:pPr>
        <w:spacing w:after="120"/>
      </w:pPr>
      <w:r>
        <w:t xml:space="preserve">BDK6 includes a manual claim script (scripts/bridge-manual-claim.sh) that demonstrates the claim process outside the auto-claiming system. The script queries the bridge API for pending claimable deposits (filtering for ready_for_claim=true, claim_tx_hash empty, and matching destination network), retrieves Merkle proofs, constructs the claimAsset calldata, performs an eth_call simulation, and then submits the actual transaction via cast send. This provides a reference implementation for the 11-parameter claimAsset() function signature.</w:t>
      </w:r>
    </w:p>
    <w:p>
      <w:pPr>
        <w:pStyle w:val="Heading1"/>
      </w:pPr>
      <w:r>
        <w:t xml:space="preserve">8. AggLayer-Contracts Analysis</w:t>
      </w:r>
    </w:p>
    <w:p>
      <w:pPr>
        <w:pStyle w:val="Heading2"/>
      </w:pPr>
      <w:r>
        <w:t xml:space="preserve">8.1 Contract Deployment Pipeline</w:t>
      </w:r>
    </w:p>
    <w:p>
      <w:pPr>
        <w:spacing w:after="120"/>
      </w:pPr>
      <w:r>
        <w:t xml:space="preserve">BDK6 deploys contracts using the 0xPolygonHermez/zkevm-contracts repository (tag: fork12). The deployment pipeline consists of five sequential Hardhat scripts executed inside the contracts service container. The deploy_parameters.json template configures critical parameters: pendingStateTimeout (604,799 seconds / ~7 days), trustedAggregatorTimeout (604,799 seconds), test mode enabled, and salt 0x0001 for deterministic deployment.</w:t>
      </w:r>
    </w:p>
    <w:p>
      <w:pPr>
        <w:spacing w:after="120"/>
      </w:pPr>
      <w:r>
        <w:t xml:space="preserve">The rollup creation step (4_createRollup.ts) is where the bridge contract and rollup are formally linked. The create_rollup_parameters.json specifies the consensus contract (PolygonDataCommittee for validium or PolygonZkEVMEtrog for rollup mode), chain ID (10101), fork ID (12), and optional gas token address for custom L2 gas tokens.</w:t>
      </w:r>
    </w:p>
    <w:p>
      <w:pPr>
        <w:pStyle w:val="Heading2"/>
      </w:pPr>
      <w:r>
        <w:t xml:space="preserve">8.2 Post-Deployment Configuration</w:t>
      </w:r>
    </w:p>
    <w:p>
      <w:pPr>
        <w:spacing w:after="120"/>
      </w:pPr>
      <w:r>
        <w:t xml:space="preserve">After contract deployment, the setup script performs three critical configuration steps for the liquidity system:</w:t>
      </w:r>
    </w:p>
    <w:p>
      <w:pPr>
        <w:spacing w:after="120"/>
      </w:pPr>
      <w:r>
        <w:rPr>
          <w:b/>
          <w:bCs/>
        </w:rPr>
        <w:t xml:space="preserve">POL Token Approval: </w:t>
      </w:r>
      <w:r>
        <w:t xml:space="preserve">The sequencer approves the rollup contract to spend 10^27 POL tokens. This is required because sequencing batches requires a POL bond that gets refunded when batches are proved. Without this approval, the sequencer cannot sequence new batches and the bridge stops processing deposits.</w:t>
      </w:r>
    </w:p>
    <w:p>
      <w:pPr>
        <w:spacing w:after="120"/>
      </w:pPr>
      <w:r>
        <w:rPr>
          <w:b/>
          <w:bCs/>
        </w:rPr>
        <w:t xml:space="preserve">DAC Configuration (Validium only): </w:t>
      </w:r>
      <w:r>
        <w:t xml:space="preserve">In CDK-Validium mode, the Data Availability Committee is configured with setupCommittee() setting 1 required signature and pointing to the DAC service URL. The rollup contract then calls setDataAvailabilityProtocol() to enable the DAC.</w:t>
      </w:r>
    </w:p>
    <w:p>
      <w:pPr>
        <w:spacing w:after="120"/>
      </w:pPr>
      <w:r>
        <w:rPr>
          <w:b/>
          <w:bCs/>
        </w:rPr>
        <w:t xml:space="preserve">AggLayer Role Grant: </w:t>
      </w:r>
      <w:r>
        <w:t xml:space="preserve">The admin grants TRUSTED_AGGREGATOR_ROLE to the AggLayer address on the RollupManager. This allows the AggLayer to call verifyBatches() and settle proofs to L1. The role is identified by keccak256('TRUSTED_AGGREGATOR_ROLE') = 0x084e94f...edd4.</w:t>
      </w:r>
    </w:p>
    <w:p>
      <w:pPr>
        <w:pStyle w:val="Heading2"/>
      </w:pPr>
      <w:r>
        <w:t xml:space="preserve">8.3 Combined.json Contract Registry</w:t>
      </w:r>
    </w:p>
    <w:p>
      <w:pPr>
        <w:spacing w:after="120"/>
      </w:pPr>
      <w:r>
        <w:t xml:space="preserve">The deployment produces a combined.json file that serves as the single source of truth for all contract addresses. This file is constructed by merging deploy_output.json and create_rollup_output.json with additional fields for the L2 Global Exit Root proxy address. For fork IDs below 8, field name compatibility mapping is applied (e.g., polygonRollupManager renamed to polygonRollupManagerAddress). The genesis.json is enriched with L1Config containing chainId, polygonZkEVMGlobalExitRootAddress, polygonRollupManagerAddress, polTokenAddress, and polygonZkEVMAddress.</w:t>
      </w:r>
    </w:p>
    <w:p>
      <w:pPr>
        <w:pStyle w:val="Heading1"/>
      </w:pPr>
      <w:r>
        <w:t xml:space="preserve">9. Security Analysis</w:t>
      </w:r>
    </w:p>
    <w:p>
      <w:pPr>
        <w:pStyle w:val="Heading2"/>
      </w:pPr>
      <w:r>
        <w:t xml:space="preserve">9.1 Pessimistic Proof Security Model</w:t>
      </w:r>
    </w:p>
    <w:p>
      <w:pPr>
        <w:spacing w:after="120"/>
      </w:pPr>
      <w:r>
        <w:t xml:space="preserve">The pessimistic proof system provides a critical security guarantee: the total withdrawals from any chain through the unified bridge can never exceed total deposits to that chain. This is enforced via the Local Balance Tree, which tracks per-token balances for each connected chain. The proof treats every chain as potentially compromised, ensuring that even a fully malicious chain cannot drain funds from other chains on the shared bridge.</w:t>
      </w:r>
    </w:p>
    <w:p>
      <w:pPr>
        <w:spacing w:after="120"/>
      </w:pPr>
      <w:r>
        <w:t xml:space="preserve">In BDK6’s devnet configuration, GenerateMockProof = true means the pessimistic proof is not actually verified by SP1 zkVM. For production deployment, this must be set to false and a real SP1 prover must be configured. The mock proof mode is suitable for integration testing but provides no cryptographic security guarantees.</w:t>
      </w:r>
    </w:p>
    <w:p>
      <w:pPr>
        <w:pStyle w:val="Heading2"/>
      </w:pPr>
      <w:r>
        <w:t xml:space="preserve">9.2 Key Security Considerations</w:t>
      </w:r>
    </w:p>
    <w:p>
      <w:pPr>
        <w:spacing w:after="120"/>
      </w:pPr>
      <w:r>
        <w:rPr>
          <w:b/>
          <w:bCs/>
        </w:rPr>
        <w:t xml:space="preserve">Devnet Key Exposure: </w:t>
      </w:r>
      <w:r>
        <w:t xml:space="preserve">All private keys in BDK6 are derived from a known mnemonic and hardcoded in params.yml. This is appropriate for devnet but must never be used in production. The mnemonic 'code code code code code code code code code code code quality' should be treated as compromised.</w:t>
      </w:r>
    </w:p>
    <w:p>
      <w:pPr>
        <w:spacing w:after="120"/>
      </w:pPr>
      <w:r>
        <w:rPr>
          <w:b/>
          <w:bCs/>
        </w:rPr>
        <w:t xml:space="preserve">Single-Signature Architecture: </w:t>
      </w:r>
      <w:r>
        <w:t xml:space="preserve">BDK6 uses individual EOAs for all roles. Production deployments should use multisig wallets (e.g., Safe) for admin, timelock, and aggregator roles. The emergencyCouncilAddress is set to the admin address, which is a single point of failure.</w:t>
      </w:r>
    </w:p>
    <w:p>
      <w:pPr>
        <w:spacing w:after="120"/>
      </w:pPr>
      <w:r>
        <w:rPr>
          <w:b/>
          <w:bCs/>
        </w:rPr>
        <w:t xml:space="preserve">ClaimTxManager Trust Model: </w:t>
      </w:r>
      <w:r>
        <w:t xml:space="preserve">The auto-claiming system holds a private key that can submit claim transactions on behalf of any user. While this is a convenience feature, it means the ClaimTxManager operator has the ability to front-run or delay claims. The system is trust-minimized because claims are verified on-chain via Merkle proofs, but the claiming key’s availability affects liveness.</w:t>
      </w:r>
    </w:p>
    <w:p>
      <w:pPr>
        <w:spacing w:after="120"/>
      </w:pPr>
      <w:r>
        <w:rPr>
          <w:b/>
          <w:bCs/>
        </w:rPr>
        <w:t xml:space="preserve">Bridge Proxy CORS: </w:t>
      </w:r>
      <w:r>
        <w:t xml:space="preserve">The HAProxy configuration sets Access-Control-Allow-Origin: * which allows any origin to interact with the bridge API. This is acceptable for devnet but should be restricted to specific origins in production.</w:t>
      </w:r>
    </w:p>
    <w:p>
      <w:pPr>
        <w:pStyle w:val="Heading1"/>
      </w:pPr>
      <w:r>
        <w:t xml:space="preserve">10. Data Availability Modes and Liquidity Impact</w:t>
      </w:r>
    </w:p>
    <w:p>
      <w:pPr>
        <w:spacing w:after="120"/>
      </w:pPr>
      <w:r>
        <w:t xml:space="preserve">BDK6 supports two data availability modes that affect the liquidity flow’s trust assumptions:</w:t>
      </w:r>
    </w:p>
    <w:p>
      <w:pPr>
        <w:spacing w:after="120"/>
      </w:pPr>
      <w:r>
        <w:rPr>
          <w:b/>
          <w:bCs/>
        </w:rPr>
        <w:t xml:space="preserve">Rollup Mode (data_availability_mode: rollup): </w:t>
      </w:r>
      <w:r>
        <w:t xml:space="preserve">Transaction data is posted on-chain to L1. All bridge deposit/withdrawal data is fully verifiable by anyone with an L1 node. The consensus contract is PolygonZkEVMEtrog. This provides the strongest data availability guarantees but at higher L1 gas cost.</w:t>
      </w:r>
    </w:p>
    <w:p>
      <w:pPr>
        <w:spacing w:after="120"/>
      </w:pPr>
      <w:r>
        <w:rPr>
          <w:b/>
          <w:bCs/>
        </w:rPr>
        <w:t xml:space="preserve">CDK-Validium Mode (data_availability_mode: cdk-validium): </w:t>
      </w:r>
      <w:r>
        <w:t xml:space="preserve">Transaction data is stored off-chain by the Data Availability Committee (DAC). Only a data hash is posted to L1. The consensus contract is PolygonDataCommittee. This reduces L1 gas costs but introduces a trust assumption: the DAC must remain available and honest. If the DAC withholds data, users cannot independently verify bridge operations, though the pessimistic proof still prevents unauthorized withdrawals.</w:t>
      </w:r>
    </w:p>
    <w:p>
      <w:pPr>
        <w:spacing w:after="120"/>
      </w:pPr>
      <w:r>
        <w:t xml:space="preserve">Both modes settle through the AggLayer to L1 Ethereum, and both use the same unified bridge contract for deposits and claims. The data availability mode affects only the batch data storage, not the bridge’s Merkle proof verification or the pessimistic proof system.</w:t>
      </w:r>
    </w:p>
    <w:p>
      <w:pPr>
        <w:pStyle w:val="Heading1"/>
      </w:pPr>
      <w:r>
        <w:t xml:space="preserve">11. Network Topology and Port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4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Liquidity Role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JSON-RPC API</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settlement, certificate management</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8080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Service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REST API</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Deposit queries, Merkle proof generation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 API</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bridge service communication</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8123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cdk-erigon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L2 JSON-RPC</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L2 transaction execution, state queries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cdk-erigon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WebSocket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L2 event streaming</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8545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Geth (L1)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L1 JSON-RPC</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L1 contract interaction, deposit monitoring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HAProxy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Proxy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endpoint for UI + APIs</w:t>
            </w:r>
          </w:p>
        </w:tc>
      </w:tr>
      <w:tr>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9091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Various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Prometheus</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Metrics collection for all services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state, proofs, event index</w:t>
            </w:r>
          </w:p>
        </w:tc>
      </w:tr>
    </w:tbl>
    <w:p>
      <w:pPr>
        <w:spacing w:after="120"/>
      </w:pPr>
      <w:r>
        <w:t xml:space="preserve"/>
      </w:r>
    </w:p>
    <w:p>
      <w:pPr>
        <w:pStyle w:val="Heading1"/>
      </w:pPr>
      <w:r>
        <w:t xml:space="preserve">12. Recommendations for Production Deployment</w:t>
      </w:r>
    </w:p>
    <w:p>
      <w:pPr>
        <w:spacing w:after="120"/>
      </w:pPr>
      <w:r>
        <w:rPr>
          <w:b/>
          <w:bCs/>
        </w:rPr>
        <w:t xml:space="preserve">1. Disable Mock Proofs: </w:t>
      </w:r>
      <w:r>
        <w:t xml:space="preserve">Set GenerateMockProof = false in agglayer-config.toml and configure a real SP1 zkVM prover endpoint. Without real pessimistic proofs, the bridge provides no cryptographic safety guarantees.</w:t>
      </w:r>
    </w:p>
    <w:p>
      <w:pPr>
        <w:spacing w:after="120"/>
      </w:pPr>
      <w:r>
        <w:rPr>
          <w:b/>
          <w:bCs/>
        </w:rPr>
        <w:t xml:space="preserve">2. Replace Devnet Keys: </w:t>
      </w:r>
      <w:r>
        <w:t xml:space="preserve">Generate fresh keys using a hardware security module (HSM) or a secure key management service. Deploy multisig wallets for admin, emergency council, and timelock roles.</w:t>
      </w:r>
    </w:p>
    <w:p>
      <w:pPr>
        <w:spacing w:after="120"/>
      </w:pPr>
      <w:r>
        <w:rPr>
          <w:b/>
          <w:bCs/>
        </w:rPr>
        <w:t xml:space="preserve">3. Restrict CORS: </w:t>
      </w:r>
      <w:r>
        <w:t xml:space="preserve">Replace Access-Control-Allow-Origin: * with specific allowed origins in the HAProxy configuration.</w:t>
      </w:r>
    </w:p>
    <w:p>
      <w:pPr>
        <w:spacing w:after="120"/>
      </w:pPr>
      <w:r>
        <w:rPr>
          <w:b/>
          <w:bCs/>
        </w:rPr>
        <w:t xml:space="preserve">4. Enable TLS: </w:t>
      </w:r>
      <w:r>
        <w:t xml:space="preserve">Add TLS termination to HAProxy or deploy behind a TLS-capable reverse proxy (nginx, Caddy, or cloud load balancer).</w:t>
      </w:r>
    </w:p>
    <w:p>
      <w:pPr>
        <w:spacing w:after="120"/>
      </w:pPr>
      <w:r>
        <w:rPr>
          <w:b/>
          <w:bCs/>
        </w:rPr>
        <w:t xml:space="preserve">5. Database Security: </w:t>
      </w:r>
      <w:r>
        <w:t xml:space="preserve">Replace 'redacted' database passwords with strong, unique passwords. Enable PostgreSQL SSL connections and restrict network access.</w:t>
      </w:r>
    </w:p>
    <w:p>
      <w:pPr>
        <w:spacing w:after="120"/>
      </w:pPr>
      <w:r>
        <w:rPr>
          <w:b/>
          <w:bCs/>
        </w:rPr>
        <w:t xml:space="preserve">6. Monitoring: </w:t>
      </w:r>
      <w:r>
        <w:t xml:space="preserve">Configure alerting on key bridge metrics: deposit queue depth, claim latency, AggLayer certificate settlement time, and EthTxManager gas usage. BDK6 already deploys Prometheus and Grafana with Panoptichain for on-chain monitoring.</w:t>
      </w:r>
    </w:p>
    <w:p>
      <w:pPr>
        <w:spacing w:after="120"/>
      </w:pPr>
      <w:r>
        <w:rPr>
          <w:b/>
          <w:bCs/>
        </w:rPr>
        <w:t xml:space="preserve">7. Gas Token Consideration: </w:t>
      </w:r>
      <w:r>
        <w:t xml:space="preserve">If deploying with a custom gas token (zkevm_use_gas_token_contract: true), ensure the ERC20 contract is audited and has appropriate supply controls. The gas token is deployed as an ERC20PermitMock in devnet, which is not suitable for production.</w:t>
      </w:r>
    </w:p>
    <w:p>
      <w:pPr>
        <w:spacing w:after="120"/>
      </w:pPr>
      <w:r>
        <w:rPr>
          <w:b/>
          <w:bCs/>
        </w:rPr>
        <w:t xml:space="preserve">8. Backup and Recovery: </w:t>
      </w:r>
      <w:r>
        <w:t xml:space="preserve">Implement PostgreSQL backup procedures for bridge_db (which contains the Merkle tree state and deposit index). Loss of this database requires full re-synchronization from L1, which can take significant time.</w:t>
      </w:r>
    </w:p>
    <w:p>
      <w:pPr>
        <w:pStyle w:val="Heading1"/>
      </w:pPr>
      <w:r>
        <w:t xml:space="preserve">13. Conclusion</w:t>
      </w:r>
    </w:p>
    <w:p>
      <w:pPr>
        <w:spacing w:after="120"/>
      </w:pPr>
      <w:r>
        <w:t xml:space="preserve">BDK6 implements a production-faithful representation of the AggLayer v0.3+ liquidity architecture, deploying the complete stack from L1 contract deployment through AggLayer pessimistic proof settlement to end-user bridge UI interaction. The codebase demonstrates the four pillars of AggLayer liquidity handling: pessimistic proofs (via agglayer-rs v0.4.4 with mock proof generation), the unified bridge (via zkevm-bridge-service v0.6.1 with unified bridge configuration enabled), proof aggregation (via the TRUSTED_AGGREGATOR_ROLE delegation to the AggLayer address), and the bridge UI (via patched zkevm-bridge-ui with relative URL resolution).</w:t>
      </w:r>
    </w:p>
    <w:p>
      <w:pPr>
        <w:spacing w:after="120"/>
      </w:pPr>
      <w:r>
        <w:t xml:space="preserve">The Kurtosis-based orchestration provides a deterministic, reproducible deployment environment that accurately models the service dependencies, configuration injection, and networking topology of a production Polygon CDK deployment. The nine-role key architecture, dual Merkle proof verification system, automated ClaimTxManager, and HAProxy reverse proxy collectively enable a complete cross-chain liquidity lifecycle that can be tested, instrumented, and validated before production deployment.</w:t>
      </w:r>
    </w:p>
    <w:p>
      <w:pPr>
        <w:spacing w:after="120"/>
      </w:pPr>
      <w:r>
        <w:t xml:space="preserve">For the DELTAVERSE ecosystem and AgenticPlace marketplace, BDK6 provides the foundational infrastructure layer for cross-chain asset movement, enabling the BONAFIDE reputation system and BANKON AlgoIDNFT identity framework to operate across connected chains with cryptographic safety guarantees backed by the AggLayer’s pessimistic proof system.</w:t>
      </w:r>
    </w:p>
    <w:p>
      <w:r>
        <w:br w:type="page"/>
      </w:r>
    </w:p>
    <w:p>
      <w:pPr>
        <w:pStyle w:val="Heading1"/>
      </w:pPr>
      <w:r>
        <w:t xml:space="preserve">Appendix A: File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main.star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orchestration: sequences all deployment phases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cdk_bridge_infra.star</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infrastructure: AggLayer + bridge service + UI + proxy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lib/zkevm_agglayer.star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AggLayer service configuration (container, ports, entrypoint)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lib/zkevm_bridge.star</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service + UI + proxy service configurations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lib/service.star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address extraction from combined.json</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deploy_zkevm_contracts.star</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L1 contract deployment orchestration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templates/bridge-infra/agglayer-config.toml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AggLayer TOML config template (pessimistic proof, settlement)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templates/bridge-infra/bridge-config.toml</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service TOML config template (sync, claims, DB)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templates/bridge-infra/.env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UI environment variable template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templates/bridge-infra/haproxy.cfg</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HAProxy reverse proxy routing configuration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templates/contract-deploy/run-contract-setup.sh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deployment + role configuration script</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templates/contract-deploy/deploy_parameters.json</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Contract deployment parameters template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templates/contract-deploy/create_rollup_parameters.json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Rollup creation parameters template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templates/workload/bridge.sh</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 workload: ERC20 deploy + bridge + claim automation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scripts/bridge-manual-claim.sh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bridge claim reference implementation</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docker/zkevm-bridge-ui/env.ts.diff</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UI patch: relative URL support + relaxed validation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docker/zkevm-bridge-ui/deploy.sh.diff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patch: RESOLVE_RELATIVE_URLS env injection</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docker/zkevm-contracts.Dockerfile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Contract deployment container (Hardhat + Foundry + polycli)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databases.star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configuration for all 8 databases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input_parser.star</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Default parameter definitions and merge 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params.yml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parameter file (keys, images, ports, chain IDs)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i/>
        <w:iCs/>
        <w:color w:val="7F8C8D"/>
        <w:sz w:val="18"/>
        <w:szCs w:val="18"/>
      </w:rPr>
      <w:t xml:space="preserve">AggLayer Liquidity Handling — BDK6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2026-03-31T03:41:02.936Z</dcterms:created>
  <dcterms:modified xsi:type="dcterms:W3CDTF">2026-03-31T03:41:02.936Z</dcterms:modified>
</cp:coreProperties>
</file>

<file path=docProps/custom.xml><?xml version="1.0" encoding="utf-8"?>
<Properties xmlns="http://schemas.openxmlformats.org/officeDocument/2006/custom-properties" xmlns:vt="http://schemas.openxmlformats.org/officeDocument/2006/docPropsVTypes"/>
</file>