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sz w:val="44"/>
          <w:szCs w:val="44"/>
        </w:rPr>
        <w:t xml:space="preserve">THE RECURSIVE PROOF</w:t>
      </w:r>
    </w:p>
    <w:p>
      <w:pPr>
        <w:spacing w:after="120"/>
        <w:jc w:val="center"/>
      </w:pPr>
      <w:r>
        <w:rPr>
          <w:b/>
          <w:bCs/>
          <w:sz w:val="44"/>
          <w:szCs w:val="44"/>
        </w:rPr>
        <w:t xml:space="preserve">OF DEBT INHERITANCE</w:t>
      </w:r>
    </w:p>
    <w:p>
      <w:pPr>
        <w:spacing w:after="400"/>
      </w:pPr>
    </w:p>
    <w:p>
      <w:pPr>
        <w:spacing w:after="120"/>
        <w:jc w:val="center"/>
      </w:pPr>
      <w:r>
        <w:rPr>
          <w:i/>
          <w:iCs/>
          <w:sz w:val="26"/>
          <w:szCs w:val="26"/>
        </w:rPr>
        <w:t xml:space="preserve">Composable Oracles, Synthetic Indices, and the</w:t>
      </w:r>
    </w:p>
    <w:p>
      <w:pPr>
        <w:spacing w:after="120"/>
        <w:jc w:val="center"/>
      </w:pPr>
      <w:r>
        <w:rPr>
          <w:i/>
          <w:iCs/>
          <w:sz w:val="26"/>
          <w:szCs w:val="26"/>
        </w:rPr>
        <w:t xml:space="preserve">Capstone Orchestration of a Four-Contract Short</w:t>
      </w:r>
    </w:p>
    <w:p>
      <w:pPr>
        <w:spacing w:after="600"/>
      </w:pPr>
    </w:p>
    <w:p>
      <w:pPr>
        <w:spacing w:after="120"/>
        <w:jc w:val="center"/>
      </w:pPr>
      <w:r>
        <w:rPr>
          <w:sz w:val="22"/>
          <w:szCs w:val="22"/>
        </w:rPr>
        <w:t xml:space="preserve">Part III of:</w:t>
      </w:r>
    </w:p>
    <w:p>
      <w:pPr>
        <w:spacing w:after="120"/>
        <w:jc w:val="center"/>
      </w:pPr>
      <w:r>
        <w:rPr>
          <w:i/>
          <w:iCs/>
          <w:sz w:val="22"/>
          <w:szCs w:val="22"/>
        </w:rPr>
        <w:t xml:space="preserve">The Structural Dynamics of Global Debt Accumulation</w:t>
      </w:r>
    </w:p>
    <w:p>
      <w:pPr>
        <w:spacing w:after="120"/>
        <w:jc w:val="center"/>
      </w:pPr>
      <w:r>
        <w:rPr>
          <w:i/>
          <w:iCs/>
          <w:sz w:val="22"/>
          <w:szCs w:val="22"/>
        </w:rPr>
        <w:t xml:space="preserve">and Strategies for Inverse Positioning</w:t>
      </w:r>
    </w:p>
    <w:p>
      <w:pPr>
        <w:spacing w:after="800"/>
      </w:pPr>
    </w:p>
    <w:p>
      <w:pPr>
        <w:spacing w:after="120"/>
        <w:jc w:val="center"/>
      </w:pPr>
      <w:r>
        <w:rPr>
          <w:sz w:val="24"/>
          <w:szCs w:val="24"/>
        </w:rPr>
        <w:t xml:space="preserve">Prepared by Professor Codephreak</w:t>
      </w:r>
    </w:p>
    <w:p>
      <w:pPr>
        <w:spacing w:after="120"/>
        <w:jc w:val="center"/>
      </w:pPr>
      <w:r>
        <w:rPr>
          <w:sz w:val="22"/>
          <w:szCs w:val="22"/>
        </w:rPr>
        <w:t xml:space="preserve">Architect, DELTAVERSE Ecosystem</w:t>
      </w:r>
    </w:p>
    <w:p>
      <w:pPr>
        <w:spacing w:after="120"/>
        <w:jc w:val="center"/>
      </w:pPr>
      <w:r>
        <w:rPr>
          <w:sz w:val="22"/>
          <w:szCs w:val="22"/>
        </w:rPr>
        <w:t xml:space="preserve">February 2026</w:t>
      </w:r>
    </w:p>
    <w:p>
      <w:pPr>
        <w:spacing w:after="400"/>
      </w:pPr>
    </w:p>
    <w:p>
      <w:pPr>
        <w:spacing w:after="120"/>
        <w:jc w:val="center"/>
      </w:pPr>
      <w:r>
        <w:rPr>
          <w:i/>
          <w:iCs/>
          <w:sz w:val="20"/>
          <w:szCs w:val="20"/>
        </w:rPr>
        <w:t xml:space="preserve">Working Paper — Not for Distribution Without Permission</w:t>
      </w:r>
    </w:p>
    <w:p>
      <w:r>
        <w:br w:type="page"/>
      </w:r>
    </w:p>
    <w:p>
      <w:pPr>
        <w:pStyle w:val="Heading1"/>
        <w:spacing w:after="120" w:before="240"/>
      </w:pPr>
      <w:r>
        <w:rPr>
          <w:b/>
          <w:bCs/>
        </w:rPr>
        <w:t xml:space="preserve">Abstract</w:t>
      </w:r>
    </w:p>
    <w:p>
      <w:pPr>
        <w:spacing w:after="160" w:line="320"/>
        <w:jc w:val="both"/>
      </w:pPr>
      <w:r>
        <w:t xml:space="preserve">This paper completes the two-part thesis series on inverse positioning against global debt expansion by presenting the capstone orchestration contract that composes the four previously-specified primitives — RWAToken, CrossCollateralVault, PerpetualEngine, and DeltaVerseDebtOracle — into a single executable market module. We demonstrate that the resulting system achieves what we term recursive debt inheritance: a user can deposit tokenized sovereign debt as collateral, borrow stablecoin against it, and use that stablecoin to open a leveraged position shorting the very debt index that the collateral tracks. The capstone contract (DebtInheritanceProtocol) also implements the synthetic Global Debt Stress Index token (sGDSI), providing both leveraged and unlevered pathways for thesis expression. We formalize the mathematical relationship between the oracle, the synthetic token, and the perpetual market; prove that the fee-routing loop creates a closed economic circuit between traders and liquidity providers; and enumerate the deployment sequence required to instantiate the full stack on mainnet. The proof of thesis is complete when the debt system's own instruments can be used to finance its own inversion — when, in the language of Part I, paradigmatic displacement becomes not merely philosophical but executable in a single blockchain transaction.</w:t>
      </w:r>
    </w:p>
    <w:p>
      <w:pPr>
        <w:pStyle w:val="Heading1"/>
        <w:spacing w:after="120" w:before="240"/>
      </w:pPr>
      <w:r>
        <w:rPr>
          <w:b/>
          <w:bCs/>
        </w:rPr>
        <w:t xml:space="preserve">1. Synthesis: What the First Two Papers Established</w:t>
      </w:r>
    </w:p>
    <w:p>
      <w:pPr>
        <w:spacing w:after="160" w:line="320"/>
        <w:jc w:val="both"/>
      </w:pPr>
      <w:r>
        <w:t xml:space="preserve">Part I of this series (The Structural Dynamics of Global Debt Accumulation) established four channels of inverse positioning against the $346 trillion global debt complex: bond price depreciation, currency debasement, credit cascade, and paradigmatic displacement. The fourth channel — the construction of alternative value-creation architectures operating outside the debt-based paradigm — was identified as the most durable but also the most incompletely specified.</w:t>
      </w:r>
    </w:p>
    <w:p>
      <w:pPr>
        <w:spacing w:after="160" w:line="320"/>
        <w:jc w:val="both"/>
      </w:pPr>
      <w:r>
        <w:t xml:space="preserve">Part II (The Cryptographic Inheritance of Global Debt) provided the specification. It argued that blockchain-based infrastructure is uniquely positioned to absorb the economic functions of the legacy debt complex through three mechanisms: Real World Asset tokenization, permissionless 24/7 derivatives, and unified cross-asset collateralization. Part II delivered three production Solidity contracts implementing these primitives in audited form.</w:t>
      </w:r>
    </w:p>
    <w:p>
      <w:pPr>
        <w:spacing w:after="160" w:line="320"/>
        <w:jc w:val="both"/>
      </w:pPr>
      <w:r>
        <w:t xml:space="preserve">Between Parts II and III, a fourth primitive was introduced: the DeltaVerseDebtOracle, a composite oracle that measures the Global Debt Stress Index (GDSI) using Synthetix V3 Oracle Manager patterns — multi-source aggregation over Chainlink push feeds, Pyth Network pull feeds, and authorized reporter medians. This oracle transforms the debt thesis from a narrative claim into a quantifiable, on-chain, tradeable signal.</w:t>
      </w:r>
    </w:p>
    <w:p>
      <w:pPr>
        <w:spacing w:after="160" w:line="320"/>
        <w:jc w:val="both"/>
      </w:pPr>
      <w:r>
        <w:t xml:space="preserve">Four primitives now exist. Individually, each is useful. Composed, they become something qualitatively new: a system capable of shorting the global debt complex using instruments derived from the global debt complex. This paper specifies that composition.</w:t>
      </w:r>
    </w:p>
    <w:p>
      <w:pPr>
        <w:pStyle w:val="Heading1"/>
        <w:spacing w:after="120" w:before="240"/>
      </w:pPr>
      <w:r>
        <w:rPr>
          <w:b/>
          <w:bCs/>
        </w:rPr>
        <w:t xml:space="preserve">2. The Capstone Contract: DebtInheritanceProtocol</w:t>
      </w:r>
    </w:p>
    <w:p>
      <w:pPr>
        <w:spacing w:after="160" w:line="320"/>
        <w:jc w:val="both"/>
      </w:pPr>
      <w:r>
        <w:t xml:space="preserve">Following the Synthetix V3 architectural pattern — in which Liquidity Providers deposit collateral into Pools, Pools are connected to Markets, and Markets serve Traders — the DebtInheritanceProtocol contract functions as the Market Module of the DELTAVERSE stack. It is the logic layer that turns the liquidity provided by oracle LP stakers, vault depositors, and perpetual collateral into a tradeable financial instrument: exposure to global debt stress.</w:t>
      </w:r>
    </w:p>
    <w:p>
      <w:pPr>
        <w:spacing w:after="160" w:line="320"/>
        <w:jc w:val="both"/>
      </w:pPr>
      <w:r>
        <w:t xml:space="preserve">The contract has three responsibilities. First, it mints and burns sGDSI, the synthetic debt index token, at the current oracle price. Second, it provides the expressThesis() function that atomically executes the full four-contract inheritance flow in a single transaction. Third, it routes accumulated protocol fees back to the oracle's LP staking pool, closing the economic loop between traders and the measurement infrastructure.</w:t>
      </w:r>
    </w:p>
    <w:p>
      <w:pPr>
        <w:spacing w:after="160" w:line="320"/>
        <w:jc w:val="both"/>
      </w:pPr>
      <w:r>
        <w:t xml:space="preserve">The contract inherits directly from OpenZeppelin's ERC20, making the protocol itself the sGDSI token. This design decision is deliberate: the synthetic asset and the market module are inseparable. The sGDSI token cannot exist without the market logic that mints and redeems it, and the market logic is meaningless without a tradeable synthetic to issue. They are the same contract because they are the same concept viewed from two angles.</w:t>
      </w:r>
    </w:p>
    <w:p>
      <w:pPr>
        <w:pStyle w:val="Heading1"/>
        <w:spacing w:after="120" w:before="240"/>
      </w:pPr>
      <w:r>
        <w:rPr>
          <w:b/>
          <w:bCs/>
        </w:rPr>
        <w:t xml:space="preserve">3. Mathematical Model of sGDSI</w:t>
      </w:r>
    </w:p>
    <w:p>
      <w:pPr>
        <w:spacing w:after="160" w:line="320"/>
        <w:jc w:val="both"/>
      </w:pPr>
      <w:r>
        <w:t xml:space="preserve">Let P(t) denote the composite GDSI value at time t, scaled to the base index of 1000. Let B denote the base index value (1000 × 1e18 in contract precision). Let f_m and f_b denote the mint and burn fees in basis points. Then the mint and burn equations are:</w:t>
      </w:r>
    </w:p>
    <w:p>
      <w:pPr>
        <w:spacing w:after="80"/>
      </w:pPr>
    </w:p>
    <w:p>
      <w:pPr>
        <w:spacing w:after="0" w:line="260"/>
      </w:pPr>
      <w:r>
        <w:rPr>
          <w:rFonts w:ascii="Courier New" w:cs="Courier New" w:eastAsia="Courier New" w:hAnsi="Courier New"/>
          <w:sz w:val="18"/>
          <w:szCs w:val="18"/>
        </w:rPr>
        <w:t xml:space="preserve">   Mint:  s_out = (c_in × (1 - f_m/10000)) × B / P(t)</w:t>
      </w:r>
    </w:p>
    <w:p>
      <w:pPr>
        <w:spacing w:after="0" w:line="260"/>
      </w:pPr>
      <w:r>
        <w:rPr>
          <w:rFonts w:ascii="Courier New" w:cs="Courier New" w:eastAsia="Courier New" w:hAnsi="Courier New"/>
          <w:sz w:val="18"/>
          <w:szCs w:val="18"/>
        </w:rPr>
        <w:t xml:space="preserve">   Burn:  c_out = (s_in × P(t) / B) × (1 - f_b/10000)</w:t>
      </w:r>
    </w:p>
    <w:p>
      <w:pPr>
        <w:spacing w:after="0" w:line="260"/>
      </w:pPr>
      <w:r>
        <w:rPr>
          <w:rFonts w:ascii="Courier New" w:cs="Courier New" w:eastAsia="Courier New" w:hAnsi="Courier New"/>
          <w:sz w:val="18"/>
          <w:szCs w:val="18"/>
        </w:rPr>
        <w:t xml:space="preserve"/>
      </w:r>
    </w:p>
    <w:p>
      <w:pPr>
        <w:spacing w:after="0" w:line="260"/>
      </w:pPr>
      <w:r>
        <w:rPr>
          <w:rFonts w:ascii="Courier New" w:cs="Courier New" w:eastAsia="Courier New" w:hAnsi="Courier New"/>
          <w:sz w:val="18"/>
          <w:szCs w:val="18"/>
        </w:rPr>
        <w:t xml:space="preserve">   where:</w:t>
      </w:r>
    </w:p>
    <w:p>
      <w:pPr>
        <w:spacing w:after="0" w:line="260"/>
      </w:pPr>
      <w:r>
        <w:rPr>
          <w:rFonts w:ascii="Courier New" w:cs="Courier New" w:eastAsia="Courier New" w:hAnsi="Courier New"/>
          <w:sz w:val="18"/>
          <w:szCs w:val="18"/>
        </w:rPr>
        <w:t xml:space="preserve">     c_in, c_out = stablecoin amounts (18 decimals)</w:t>
      </w:r>
    </w:p>
    <w:p>
      <w:pPr>
        <w:spacing w:after="0" w:line="260"/>
      </w:pPr>
      <w:r>
        <w:rPr>
          <w:rFonts w:ascii="Courier New" w:cs="Courier New" w:eastAsia="Courier New" w:hAnsi="Courier New"/>
          <w:sz w:val="18"/>
          <w:szCs w:val="18"/>
        </w:rPr>
        <w:t xml:space="preserve">     s_in, s_out = sGDSI amounts (18 decimals)</w:t>
      </w:r>
    </w:p>
    <w:p>
      <w:pPr>
        <w:spacing w:after="0" w:line="260"/>
      </w:pPr>
      <w:r>
        <w:rPr>
          <w:rFonts w:ascii="Courier New" w:cs="Courier New" w:eastAsia="Courier New" w:hAnsi="Courier New"/>
          <w:sz w:val="18"/>
          <w:szCs w:val="18"/>
        </w:rPr>
        <w:t xml:space="preserve">     P(t)        = oracle price at time t</w:t>
      </w:r>
    </w:p>
    <w:p>
      <w:pPr>
        <w:spacing w:after="0" w:line="260"/>
      </w:pPr>
      <w:r>
        <w:rPr>
          <w:rFonts w:ascii="Courier New" w:cs="Courier New" w:eastAsia="Courier New" w:hAnsi="Courier New"/>
          <w:sz w:val="18"/>
          <w:szCs w:val="18"/>
        </w:rPr>
        <w:t xml:space="preserve">     B           = 1000 × 10^18 (base index)</w:t>
      </w:r>
    </w:p>
    <w:p>
      <w:pPr>
        <w:spacing w:after="0" w:line="260"/>
      </w:pPr>
      <w:r>
        <w:rPr>
          <w:rFonts w:ascii="Courier New" w:cs="Courier New" w:eastAsia="Courier New" w:hAnsi="Courier New"/>
          <w:sz w:val="18"/>
          <w:szCs w:val="18"/>
        </w:rPr>
        <w:t xml:space="preserve">     f_m, f_b    = fees in basis points</w:t>
      </w:r>
    </w:p>
    <w:p>
      <w:pPr>
        <w:spacing w:after="120"/>
      </w:pPr>
    </w:p>
    <w:p>
      <w:pPr>
        <w:spacing w:after="160" w:line="320"/>
        <w:jc w:val="both"/>
      </w:pPr>
      <w:r>
        <w:t xml:space="preserve">A user who mints sGDSI at t₀ when P(t₀) = 1000 and burns at t₁ when P(t₁) = 1500 realizes a 50% gain on notional (less 60 basis points total in mint and burn fees). This is the unlevered expression of the thesis: holding sGDSI is equivalent to being long debt stress, and debt stress is structurally expected to rise over time given the dynamics established in Part I.</w:t>
      </w:r>
    </w:p>
    <w:p>
      <w:pPr>
        <w:spacing w:after="160" w:line="320"/>
        <w:jc w:val="both"/>
      </w:pPr>
      <w:r>
        <w:t xml:space="preserve">For leveraged expression, users route their sGDSI exposure through the PerpetualEngine, where the DeltaVerseDebtOracle serves as the underlying price feed. A 10× leveraged long position on a move from 1000 to 1500 returns approximately 500% of collateral, less funding rate payments accrued over the holding period. The PerpetualEngine's insurance fund, specified in the Part II audit, provides socialized-loss protection during extreme volatility events.</w:t>
      </w:r>
    </w:p>
    <w:p>
      <w:pPr>
        <w:pStyle w:val="Heading1"/>
        <w:spacing w:after="120" w:before="240"/>
      </w:pPr>
      <w:r>
        <w:rPr>
          <w:b/>
          <w:bCs/>
        </w:rPr>
        <w:t xml:space="preserve">4. Recursive Inheritance: expressThesis()</w:t>
      </w:r>
    </w:p>
    <w:p>
      <w:pPr>
        <w:spacing w:after="160" w:line="320"/>
        <w:jc w:val="both"/>
      </w:pPr>
      <w:r>
        <w:t xml:space="preserve">The expressThesis() function is the core proof. It executes the following sequence atomically:</w:t>
      </w:r>
    </w:p>
    <w:p>
      <w:pPr>
        <w:spacing w:after="80"/>
      </w:pPr>
    </w:p>
    <w:p>
      <w:pPr>
        <w:spacing w:after="0" w:line="260"/>
      </w:pPr>
      <w:r>
        <w:rPr>
          <w:rFonts w:ascii="Courier New" w:cs="Courier New" w:eastAsia="Courier New" w:hAnsi="Courier New"/>
          <w:sz w:val="18"/>
          <w:szCs w:val="18"/>
        </w:rPr>
        <w:t xml:space="preserve">   Step 1: Pull RWAToken collateral from user</w:t>
      </w:r>
    </w:p>
    <w:p>
      <w:pPr>
        <w:spacing w:after="0" w:line="260"/>
      </w:pPr>
      <w:r>
        <w:rPr>
          <w:rFonts w:ascii="Courier New" w:cs="Courier New" w:eastAsia="Courier New" w:hAnsi="Courier New"/>
          <w:sz w:val="18"/>
          <w:szCs w:val="18"/>
        </w:rPr>
        <w:t xml:space="preserve">   Step 2: Deposit RWAToken into CrossCollateralVault</w:t>
      </w:r>
    </w:p>
    <w:p>
      <w:pPr>
        <w:spacing w:after="0" w:line="260"/>
      </w:pPr>
      <w:r>
        <w:rPr>
          <w:rFonts w:ascii="Courier New" w:cs="Courier New" w:eastAsia="Courier New" w:hAnsi="Courier New"/>
          <w:sz w:val="18"/>
          <w:szCs w:val="18"/>
        </w:rPr>
        <w:t xml:space="preserve">   Step 3: Borrow stablecoin against vault collateral</w:t>
      </w:r>
    </w:p>
    <w:p>
      <w:pPr>
        <w:spacing w:after="0" w:line="260"/>
      </w:pPr>
      <w:r>
        <w:rPr>
          <w:rFonts w:ascii="Courier New" w:cs="Courier New" w:eastAsia="Courier New" w:hAnsi="Courier New"/>
          <w:sz w:val="18"/>
          <w:szCs w:val="18"/>
        </w:rPr>
        <w:t xml:space="preserve">   Step 4: Open leveraged GDSI position in PerpetualEngine</w:t>
      </w:r>
    </w:p>
    <w:p>
      <w:pPr>
        <w:spacing w:after="0" w:line="260"/>
      </w:pPr>
      <w:r>
        <w:rPr>
          <w:rFonts w:ascii="Courier New" w:cs="Courier New" w:eastAsia="Courier New" w:hAnsi="Courier New"/>
          <w:sz w:val="18"/>
          <w:szCs w:val="18"/>
        </w:rPr>
        <w:t xml:space="preserve">   Step 5: Record thesis position for unwinding</w:t>
      </w:r>
    </w:p>
    <w:p>
      <w:pPr>
        <w:spacing w:after="0" w:line="260"/>
      </w:pPr>
      <w:r>
        <w:rPr>
          <w:rFonts w:ascii="Courier New" w:cs="Courier New" w:eastAsia="Courier New" w:hAnsi="Courier New"/>
          <w:sz w:val="18"/>
          <w:szCs w:val="18"/>
        </w:rPr>
        <w:t xml:space="preserve"/>
      </w:r>
    </w:p>
    <w:p>
      <w:pPr>
        <w:spacing w:after="0" w:line="260"/>
      </w:pPr>
      <w:r>
        <w:rPr>
          <w:rFonts w:ascii="Courier New" w:cs="Courier New" w:eastAsia="Courier New" w:hAnsi="Courier New"/>
          <w:sz w:val="18"/>
          <w:szCs w:val="18"/>
        </w:rPr>
        <w:t xml:space="preserve">   Atomicity: all five steps occur in one transaction.</w:t>
      </w:r>
    </w:p>
    <w:p>
      <w:pPr>
        <w:spacing w:after="0" w:line="260"/>
      </w:pPr>
      <w:r>
        <w:rPr>
          <w:rFonts w:ascii="Courier New" w:cs="Courier New" w:eastAsia="Courier New" w:hAnsi="Courier New"/>
          <w:sz w:val="18"/>
          <w:szCs w:val="18"/>
        </w:rPr>
        <w:t xml:space="preserve">   If any step reverts, the entire operation reverts.</w:t>
      </w:r>
    </w:p>
    <w:p>
      <w:pPr>
        <w:spacing w:after="0" w:line="260"/>
      </w:pPr>
      <w:r>
        <w:rPr>
          <w:rFonts w:ascii="Courier New" w:cs="Courier New" w:eastAsia="Courier New" w:hAnsi="Courier New"/>
          <w:sz w:val="18"/>
          <w:szCs w:val="18"/>
        </w:rPr>
        <w:t xml:space="preserve">   The user either has an open thesis position or does not.</w:t>
      </w:r>
    </w:p>
    <w:p>
      <w:pPr>
        <w:spacing w:after="120"/>
      </w:pPr>
    </w:p>
    <w:p>
      <w:pPr>
        <w:spacing w:after="160" w:line="320"/>
        <w:jc w:val="both"/>
      </w:pPr>
      <w:r>
        <w:t xml:space="preserve">The recursive property becomes apparent when we consider the identity of the collateral and the position. Suppose the user's RWAToken represents fractional ownership of a US Treasury bond. When the user executes expressThesis(isLong=true), they are depositing a claim on the debt system, borrowing against it, and using the proceeds to bet that the debt system's stress index will rise. If the thesis is correct — if sovereign debt stress does rise — the perpetual position profits, while simultaneously the real value of the underlying Treasury bond may decline (in inflation-adjusted terms, or in nominal terms if yields rise significantly).</w:t>
      </w:r>
    </w:p>
    <w:p>
      <w:pPr>
        <w:spacing w:after="160" w:line="320"/>
        <w:jc w:val="both"/>
      </w:pPr>
      <w:r>
        <w:t xml:space="preserve">The two positions are counterweights. The collateral loses value precisely when the perpetual position gains value, by the same underlying mechanism. But the perpetual position is leveraged, and the collateral is not. A 10× long on GDSI against unlevered RWA collateral produces asymmetric returns: the upside of the thesis expression exceeds the collateral erosion by a factor roughly equal to the leverage multiplier, minus funding costs and interest accruals.</w:t>
      </w:r>
    </w:p>
    <w:p>
      <w:pPr>
        <w:spacing w:after="160" w:line="320"/>
        <w:jc w:val="both"/>
      </w:pPr>
      <w:r>
        <w:t xml:space="preserve">This is what we mean by recursive debt inheritance. The debt system is used as fuel to short itself. The capital that finances the short position originates from within the debt complex being shorted. There is no external capital required; the thesis is self-funding in the limit case where leverage is sufficient and the thesis is correct.</w:t>
      </w:r>
    </w:p>
    <w:p>
      <w:pPr>
        <w:pStyle w:val="Heading1"/>
        <w:spacing w:after="120" w:before="240"/>
      </w:pPr>
      <w:r>
        <w:rPr>
          <w:b/>
          <w:bCs/>
        </w:rPr>
        <w:t xml:space="preserve">5. The Fee Routing Loop: Closing the Economic Circuit</w:t>
      </w:r>
    </w:p>
    <w:p>
      <w:pPr>
        <w:spacing w:after="160" w:line="320"/>
        <w:jc w:val="both"/>
      </w:pPr>
      <w:r>
        <w:t xml:space="preserve">A protocol without a sustainable fee model is not a protocol; it is a subsidy program. The DebtInheritanceProtocol implements a circular fee flow that creates economic alignment between the four participant classes:</w:t>
      </w:r>
    </w:p>
    <w:p>
      <w:pPr>
        <w:spacing w:after="160" w:line="320"/>
        <w:jc w:val="both"/>
      </w:pPr>
      <w:r>
        <w:t xml:space="preserve">Traders pay mint, burn, and perpetual trading fees when they express the thesis. These fees accumulate in the protocol's pendingFees counter. The routeFees() function, which anyone can call, transfers pending fees to the DeltaVerseDebtOracle's LP staking pool via depositRewards(). Oracle LP stakers — who provide the collateral that backs the credibility of the measurement infrastructure — earn pro-rata rewards based on their stake share. These rewards can be claimed at any time via claimRewards().</w:t>
      </w:r>
    </w:p>
    <w:p>
      <w:pPr>
        <w:spacing w:after="160" w:line="320"/>
        <w:jc w:val="both"/>
      </w:pPr>
      <w:r>
        <w:t xml:space="preserve">The economic circuit closes when we observe that the oracle's credibility is what enables traders to use it as a price reference in the first place. Without LP-backed collateral, the oracle is just a number. With LP-backed collateral, it is a measurement infrastructure whose accuracy is economically guaranteed. Traders pay for the use of accurate measurement; stakers are paid for providing it. The protocol itself is neutral — it extracts no rent beyond the mint/burn/trading fees that directly compensate the stakers who secure the system.</w:t>
      </w:r>
    </w:p>
    <w:p>
      <w:pPr>
        <w:spacing w:after="160" w:line="320"/>
        <w:jc w:val="both"/>
      </w:pPr>
      <w:r>
        <w:t xml:space="preserve">This design is an application of the Synthetix V3 delta-neutral LP fee model to the specific domain of debt stress measurement. It proves that the Synthetix V3 architecture generalizes beyond its original use cases (spot and perpetual synths) to encompass any derivative that can be defined by an oracle and collateralized by a liquid asset.</w:t>
      </w:r>
    </w:p>
    <w:p>
      <w:pPr>
        <w:pStyle w:val="Heading1"/>
        <w:spacing w:after="120" w:before="240"/>
      </w:pPr>
      <w:r>
        <w:rPr>
          <w:b/>
          <w:bCs/>
        </w:rPr>
        <w:t xml:space="preserve">6. Mainnet Deployment Sequence</w:t>
      </w:r>
    </w:p>
    <w:p>
      <w:pPr>
        <w:spacing w:after="160" w:line="320"/>
        <w:jc w:val="both"/>
      </w:pPr>
      <w:r>
        <w:t xml:space="preserve">The five-contract stack must be deployed in dependency order using Foundry's forge script framework. The recommended sequence, with corresponding constructor arguments, is as follows:</w:t>
      </w:r>
    </w:p>
    <w:p>
      <w:pPr>
        <w:spacing w:after="80"/>
      </w:pPr>
    </w:p>
    <w:p>
      <w:pPr>
        <w:spacing w:after="0" w:line="260"/>
      </w:pPr>
      <w:r>
        <w:rPr>
          <w:rFonts w:ascii="Courier New" w:cs="Courier New" w:eastAsia="Courier New" w:hAnsi="Courier New"/>
          <w:sz w:val="18"/>
          <w:szCs w:val="18"/>
        </w:rPr>
        <w:t xml:space="preserve">   1. Deploy RWAToken.sol</w:t>
      </w:r>
    </w:p>
    <w:p>
      <w:pPr>
        <w:spacing w:after="0" w:line="260"/>
      </w:pPr>
      <w:r>
        <w:rPr>
          <w:rFonts w:ascii="Courier New" w:cs="Courier New" w:eastAsia="Courier New" w:hAnsi="Courier New"/>
          <w:sz w:val="18"/>
          <w:szCs w:val="18"/>
        </w:rPr>
        <w:t xml:space="preserve">      new RWAToken(name, symbol, admin, complianceHook)</w:t>
      </w:r>
    </w:p>
    <w:p>
      <w:pPr>
        <w:spacing w:after="0" w:line="260"/>
      </w:pPr>
      <w:r>
        <w:rPr>
          <w:rFonts w:ascii="Courier New" w:cs="Courier New" w:eastAsia="Courier New" w:hAnsi="Courier New"/>
          <w:sz w:val="18"/>
          <w:szCs w:val="18"/>
        </w:rPr>
        <w:t xml:space="preserve"/>
      </w:r>
    </w:p>
    <w:p>
      <w:pPr>
        <w:spacing w:after="0" w:line="260"/>
      </w:pPr>
      <w:r>
        <w:rPr>
          <w:rFonts w:ascii="Courier New" w:cs="Courier New" w:eastAsia="Courier New" w:hAnsi="Courier New"/>
          <w:sz w:val="18"/>
          <w:szCs w:val="18"/>
        </w:rPr>
        <w:t xml:space="preserve">   2. Deploy DeltaVerseDebtOracle.sol</w:t>
      </w:r>
    </w:p>
    <w:p>
      <w:pPr>
        <w:spacing w:after="0" w:line="260"/>
      </w:pPr>
      <w:r>
        <w:rPr>
          <w:rFonts w:ascii="Courier New" w:cs="Courier New" w:eastAsia="Courier New" w:hAnsi="Courier New"/>
          <w:sz w:val="18"/>
          <w:szCs w:val="18"/>
        </w:rPr>
        <w:t xml:space="preserve">      new DeltaVerseDebtOracle(admin, pythContract, stakingToken)</w:t>
      </w:r>
    </w:p>
    <w:p>
      <w:pPr>
        <w:spacing w:after="0" w:line="260"/>
      </w:pPr>
      <w:r>
        <w:rPr>
          <w:rFonts w:ascii="Courier New" w:cs="Courier New" w:eastAsia="Courier New" w:hAnsi="Courier New"/>
          <w:sz w:val="18"/>
          <w:szCs w:val="18"/>
        </w:rPr>
        <w:t xml:space="preserve">      → Grant REPORTER_ROLE to authorized keepers</w:t>
      </w:r>
    </w:p>
    <w:p>
      <w:pPr>
        <w:spacing w:after="0" w:line="260"/>
      </w:pPr>
      <w:r>
        <w:rPr>
          <w:rFonts w:ascii="Courier New" w:cs="Courier New" w:eastAsia="Courier New" w:hAnsi="Courier New"/>
          <w:sz w:val="18"/>
          <w:szCs w:val="18"/>
        </w:rPr>
        <w:t xml:space="preserve">      → Configure Pyth feed IDs per sub-index</w:t>
      </w:r>
    </w:p>
    <w:p>
      <w:pPr>
        <w:spacing w:after="0" w:line="260"/>
      </w:pPr>
      <w:r>
        <w:rPr>
          <w:rFonts w:ascii="Courier New" w:cs="Courier New" w:eastAsia="Courier New" w:hAnsi="Courier New"/>
          <w:sz w:val="18"/>
          <w:szCs w:val="18"/>
        </w:rPr>
        <w:t xml:space="preserve">      → Configure Chainlink feeds per sub-index (optional)</w:t>
      </w:r>
    </w:p>
    <w:p>
      <w:pPr>
        <w:spacing w:after="0" w:line="260"/>
      </w:pPr>
      <w:r>
        <w:rPr>
          <w:rFonts w:ascii="Courier New" w:cs="Courier New" w:eastAsia="Courier New" w:hAnsi="Courier New"/>
          <w:sz w:val="18"/>
          <w:szCs w:val="18"/>
        </w:rPr>
        <w:t xml:space="preserve">      → Call updateComposite() to initialize index</w:t>
      </w:r>
    </w:p>
    <w:p>
      <w:pPr>
        <w:spacing w:after="0" w:line="260"/>
      </w:pPr>
      <w:r>
        <w:rPr>
          <w:rFonts w:ascii="Courier New" w:cs="Courier New" w:eastAsia="Courier New" w:hAnsi="Courier New"/>
          <w:sz w:val="18"/>
          <w:szCs w:val="18"/>
        </w:rPr>
        <w:t xml:space="preserve"/>
      </w:r>
    </w:p>
    <w:p>
      <w:pPr>
        <w:spacing w:after="0" w:line="260"/>
      </w:pPr>
      <w:r>
        <w:rPr>
          <w:rFonts w:ascii="Courier New" w:cs="Courier New" w:eastAsia="Courier New" w:hAnsi="Courier New"/>
          <w:sz w:val="18"/>
          <w:szCs w:val="18"/>
        </w:rPr>
        <w:t xml:space="preserve">   3. Deploy CrossCollateralVault.sol</w:t>
      </w:r>
    </w:p>
    <w:p>
      <w:pPr>
        <w:spacing w:after="0" w:line="260"/>
      </w:pPr>
      <w:r>
        <w:rPr>
          <w:rFonts w:ascii="Courier New" w:cs="Courier New" w:eastAsia="Courier New" w:hAnsi="Courier New"/>
          <w:sz w:val="18"/>
          <w:szCs w:val="18"/>
        </w:rPr>
        <w:t xml:space="preserve">      new CrossCollateralVault(stablecoin, stablecoinDecimals)</w:t>
      </w:r>
    </w:p>
    <w:p>
      <w:pPr>
        <w:spacing w:after="0" w:line="260"/>
      </w:pPr>
      <w:r>
        <w:rPr>
          <w:rFonts w:ascii="Courier New" w:cs="Courier New" w:eastAsia="Courier New" w:hAnsi="Courier New"/>
          <w:sz w:val="18"/>
          <w:szCs w:val="18"/>
        </w:rPr>
        <w:t xml:space="preserve">      → addAsset(RWAToken, chainlinkFeed, ...) for each asset</w:t>
      </w:r>
    </w:p>
    <w:p>
      <w:pPr>
        <w:spacing w:after="0" w:line="260"/>
      </w:pPr>
      <w:r>
        <w:rPr>
          <w:rFonts w:ascii="Courier New" w:cs="Courier New" w:eastAsia="Courier New" w:hAnsi="Courier New"/>
          <w:sz w:val="18"/>
          <w:szCs w:val="18"/>
        </w:rPr>
        <w:t xml:space="preserve">      → Seed stablecoin reserves via transfer</w:t>
      </w:r>
    </w:p>
    <w:p>
      <w:pPr>
        <w:spacing w:after="0" w:line="260"/>
      </w:pPr>
      <w:r>
        <w:rPr>
          <w:rFonts w:ascii="Courier New" w:cs="Courier New" w:eastAsia="Courier New" w:hAnsi="Courier New"/>
          <w:sz w:val="18"/>
          <w:szCs w:val="18"/>
        </w:rPr>
        <w:t xml:space="preserve"/>
      </w:r>
    </w:p>
    <w:p>
      <w:pPr>
        <w:spacing w:after="0" w:line="260"/>
      </w:pPr>
      <w:r>
        <w:rPr>
          <w:rFonts w:ascii="Courier New" w:cs="Courier New" w:eastAsia="Courier New" w:hAnsi="Courier New"/>
          <w:sz w:val="18"/>
          <w:szCs w:val="18"/>
        </w:rPr>
        <w:t xml:space="preserve">   4. Deploy PerpetualEngine.sol</w:t>
      </w:r>
    </w:p>
    <w:p>
      <w:pPr>
        <w:spacing w:after="0" w:line="260"/>
      </w:pPr>
      <w:r>
        <w:rPr>
          <w:rFonts w:ascii="Courier New" w:cs="Courier New" w:eastAsia="Courier New" w:hAnsi="Courier New"/>
          <w:sz w:val="18"/>
          <w:szCs w:val="18"/>
        </w:rPr>
        <w:t xml:space="preserve">      new PerpetualEngine(stablecoin, oracle, admin)</w:t>
      </w:r>
    </w:p>
    <w:p>
      <w:pPr>
        <w:spacing w:after="0" w:line="260"/>
      </w:pPr>
      <w:r>
        <w:rPr>
          <w:rFonts w:ascii="Courier New" w:cs="Courier New" w:eastAsia="Courier New" w:hAnsi="Courier New"/>
          <w:sz w:val="18"/>
          <w:szCs w:val="18"/>
        </w:rPr>
        <w:t xml:space="preserve">      → Configure risk parameters (leverage, fees, OI caps)</w:t>
      </w:r>
    </w:p>
    <w:p>
      <w:pPr>
        <w:spacing w:after="0" w:line="260"/>
      </w:pPr>
      <w:r>
        <w:rPr>
          <w:rFonts w:ascii="Courier New" w:cs="Courier New" w:eastAsia="Courier New" w:hAnsi="Courier New"/>
          <w:sz w:val="18"/>
          <w:szCs w:val="18"/>
        </w:rPr>
        <w:t xml:space="preserve">      → Seed insurance fund via depositInsurance()</w:t>
      </w:r>
    </w:p>
    <w:p>
      <w:pPr>
        <w:spacing w:after="0" w:line="260"/>
      </w:pPr>
      <w:r>
        <w:rPr>
          <w:rFonts w:ascii="Courier New" w:cs="Courier New" w:eastAsia="Courier New" w:hAnsi="Courier New"/>
          <w:sz w:val="18"/>
          <w:szCs w:val="18"/>
        </w:rPr>
        <w:t xml:space="preserve"/>
      </w:r>
    </w:p>
    <w:p>
      <w:pPr>
        <w:spacing w:after="0" w:line="260"/>
      </w:pPr>
      <w:r>
        <w:rPr>
          <w:rFonts w:ascii="Courier New" w:cs="Courier New" w:eastAsia="Courier New" w:hAnsi="Courier New"/>
          <w:sz w:val="18"/>
          <w:szCs w:val="18"/>
        </w:rPr>
        <w:t xml:space="preserve">   5. Deploy DebtInheritanceProtocol.sol</w:t>
      </w:r>
    </w:p>
    <w:p>
      <w:pPr>
        <w:spacing w:after="0" w:line="260"/>
      </w:pPr>
      <w:r>
        <w:rPr>
          <w:rFonts w:ascii="Courier New" w:cs="Courier New" w:eastAsia="Courier New" w:hAnsi="Courier New"/>
          <w:sz w:val="18"/>
          <w:szCs w:val="18"/>
        </w:rPr>
        <w:t xml:space="preserve">      new DebtInheritanceProtocol(</w:t>
      </w:r>
    </w:p>
    <w:p>
      <w:pPr>
        <w:spacing w:after="0" w:line="260"/>
      </w:pPr>
      <w:r>
        <w:rPr>
          <w:rFonts w:ascii="Courier New" w:cs="Courier New" w:eastAsia="Courier New" w:hAnsi="Courier New"/>
          <w:sz w:val="18"/>
          <w:szCs w:val="18"/>
        </w:rPr>
        <w:t xml:space="preserve">          oracle, vault, perpEngine, stablecoin, admin</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r>
    </w:p>
    <w:p>
      <w:pPr>
        <w:spacing w:after="0" w:line="260"/>
      </w:pPr>
      <w:r>
        <w:rPr>
          <w:rFonts w:ascii="Courier New" w:cs="Courier New" w:eastAsia="Courier New" w:hAnsi="Courier New"/>
          <w:sz w:val="18"/>
          <w:szCs w:val="18"/>
        </w:rPr>
        <w:t xml:space="preserve">   6. Post-deployment wiring:</w:t>
      </w:r>
    </w:p>
    <w:p>
      <w:pPr>
        <w:spacing w:after="0" w:line="260"/>
      </w:pPr>
      <w:r>
        <w:rPr>
          <w:rFonts w:ascii="Courier New" w:cs="Courier New" w:eastAsia="Courier New" w:hAnsi="Courier New"/>
          <w:sz w:val="18"/>
          <w:szCs w:val="18"/>
        </w:rPr>
        <w:t xml:space="preserve">      → Grant vault borrow access to protocol (if needed)</w:t>
      </w:r>
    </w:p>
    <w:p>
      <w:pPr>
        <w:spacing w:after="0" w:line="260"/>
      </w:pPr>
      <w:r>
        <w:rPr>
          <w:rFonts w:ascii="Courier New" w:cs="Courier New" w:eastAsia="Courier New" w:hAnsi="Courier New"/>
          <w:sz w:val="18"/>
          <w:szCs w:val="18"/>
        </w:rPr>
        <w:t xml:space="preserve">      → Configure protocol fees and caps</w:t>
      </w:r>
    </w:p>
    <w:p>
      <w:pPr>
        <w:spacing w:after="0" w:line="260"/>
      </w:pPr>
      <w:r>
        <w:rPr>
          <w:rFonts w:ascii="Courier New" w:cs="Courier New" w:eastAsia="Courier New" w:hAnsi="Courier New"/>
          <w:sz w:val="18"/>
          <w:szCs w:val="18"/>
        </w:rPr>
        <w:t xml:space="preserve">      → Seed initial sGDSI liquidity (optional)</w:t>
      </w:r>
    </w:p>
    <w:p>
      <w:pPr>
        <w:spacing w:after="0" w:line="260"/>
      </w:pPr>
      <w:r>
        <w:rPr>
          <w:rFonts w:ascii="Courier New" w:cs="Courier New" w:eastAsia="Courier New" w:hAnsi="Courier New"/>
          <w:sz w:val="18"/>
          <w:szCs w:val="18"/>
        </w:rPr>
        <w:t xml:space="preserve">      → Call routeFees() periodically via keeper</w:t>
      </w:r>
    </w:p>
    <w:p>
      <w:pPr>
        <w:spacing w:after="120"/>
      </w:pPr>
    </w:p>
    <w:p>
      <w:pPr>
        <w:spacing w:after="160" w:line="320"/>
        <w:jc w:val="both"/>
      </w:pPr>
      <w:r>
        <w:t xml:space="preserve">For testing, the same sequence is deployed against Foundry's forge-std Test framework using setUp() to instantiate all five contracts and grant appropriate roles. Integration tests should verify the full expressThesis() → closeThesis() round trip, the sGDSI mint/burn equations, the fee routing loop, and the failure modes (stale oracle, exceeded leverage, insufficient collateral, circuit breaker activation).</w:t>
      </w:r>
    </w:p>
    <w:p>
      <w:pPr>
        <w:pStyle w:val="Heading1"/>
        <w:spacing w:after="120" w:before="240"/>
      </w:pPr>
      <w:r>
        <w:rPr>
          <w:b/>
          <w:bCs/>
        </w:rPr>
        <w:t xml:space="preserve">7. Conclusion: The Proof Is Complete</w:t>
      </w:r>
    </w:p>
    <w:p>
      <w:pPr>
        <w:spacing w:after="160" w:line="320"/>
        <w:jc w:val="both"/>
      </w:pPr>
      <w:r>
        <w:t xml:space="preserve">The thesis that began as a diagnostic exercise — enumerating the structural dynamics driving global debt toward its event horizon — has now been specified as an executable system. Five contracts, deployed in sequence, constitute a complete market for expressing inverse positions against the legacy debt complex using instruments derived from that same complex.</w:t>
      </w:r>
    </w:p>
    <w:p>
      <w:pPr>
        <w:spacing w:after="160" w:line="320"/>
        <w:jc w:val="both"/>
      </w:pPr>
      <w:r>
        <w:t xml:space="preserve">This is more than a protocol. It is the paradigmatic displacement channel from Part I made literal. When a user can deposit tokenized sovereign debt, borrow against it, and short the debt index in a single transaction, they are not merely hedging; they are participating in the transfer of economic function from the legacy system to the inherited system. Each successful expressThesis() call is a small instance of the larger structural migration we predicted.</w:t>
      </w:r>
    </w:p>
    <w:p>
      <w:pPr>
        <w:spacing w:after="160" w:line="320"/>
        <w:jc w:val="both"/>
      </w:pPr>
      <w:r>
        <w:t xml:space="preserve">The Synthetix V3 pattern, which proved that any derivative can be built on a collateralized debt position plus an oracle plus a market module, has been validated against the specific case of global debt itself. The same architecture that powers sETH, sBTC, and perpetual futures for cryptocurrency assets powers sGDSI and perpetual futures on debt stress. The generalization holds.</w:t>
      </w:r>
    </w:p>
    <w:p>
      <w:pPr>
        <w:spacing w:after="160" w:line="320"/>
        <w:jc w:val="both"/>
      </w:pPr>
      <w:r>
        <w:t xml:space="preserve">Pyth Network's pull oracle model, integrated via Synthetix V3's SIP-329 pattern, ensures that the measurement infrastructure can ingest real-time debt signals from traditional finance data sources without requiring the protocol to trust any single data provider. Chainlink push feeds provide redundancy. Authorized reporter medians provide the third pillar. No single source can corrupt the index; any single source can carry it if the others fail.</w:t>
      </w:r>
    </w:p>
    <w:p>
      <w:pPr>
        <w:spacing w:after="160" w:line="320"/>
        <w:jc w:val="both"/>
      </w:pPr>
      <w:r>
        <w:t xml:space="preserve">What remains is deployment. The thesis is written. The contracts are audited. The architecture is proven. The next kairos moment is the one in which a user, somewhere, signs the first expressThesis() transaction on mainnet. That transaction will be the real proof — not the one in this paper, but the one on-chain, immutable, composable, inheriting.</w:t>
      </w:r>
    </w:p>
    <w:p>
      <w:pPr>
        <w:spacing w:after="200"/>
      </w:pPr>
    </w:p>
    <w:p>
      <w:pPr>
        <w:spacing w:after="120"/>
        <w:jc w:val="center"/>
      </w:pPr>
      <w:r>
        <w:rPr>
          <w:i/>
          <w:iCs/>
          <w:sz w:val="22"/>
          <w:szCs w:val="22"/>
        </w:rPr>
        <w:t xml:space="preserve">— End of Part III —</w:t>
      </w:r>
    </w:p>
    <w:p>
      <w:pPr>
        <w:spacing w:after="400"/>
      </w:pPr>
    </w:p>
    <w:p>
      <w:pPr>
        <w:spacing w:after="120"/>
        <w:jc w:val="center"/>
      </w:pPr>
      <w:r>
        <w:rPr>
          <w:b/>
          <w:bCs/>
          <w:sz w:val="22"/>
          <w:szCs w:val="22"/>
        </w:rPr>
        <w:t xml:space="preserve">Complete Contract Stack:</w:t>
      </w:r>
    </w:p>
    <w:p>
      <w:pPr>
        <w:spacing w:after="80"/>
      </w:pPr>
    </w:p>
    <w:p>
      <w:pPr>
        <w:spacing w:after="120"/>
        <w:jc w:val="center"/>
      </w:pPr>
      <w:r>
        <w:rPr>
          <w:sz w:val="20"/>
          <w:szCs w:val="20"/>
        </w:rPr>
        <w:t xml:space="preserve">RWAToken.sol  •  CrossCollateralVault.sol  •  PerpetualEngine.sol</w:t>
      </w:r>
    </w:p>
    <w:p>
      <w:pPr>
        <w:spacing w:after="120"/>
        <w:jc w:val="center"/>
      </w:pPr>
      <w:r>
        <w:rPr>
          <w:sz w:val="20"/>
          <w:szCs w:val="20"/>
        </w:rPr>
        <w:t xml:space="preserve">DeltaVerseDebtOracle.sol  •  DebtInheritanceProtocol.sol</w:t>
      </w:r>
    </w:p>
    <w:p>
      <w:pPr>
        <w:spacing w:after="200"/>
      </w:pPr>
    </w:p>
    <w:p>
      <w:pPr>
        <w:spacing w:after="120"/>
        <w:jc w:val="center"/>
      </w:pPr>
      <w:r>
        <w:rPr>
          <w:i/>
          <w:iCs/>
          <w:sz w:val="20"/>
          <w:szCs w:val="20"/>
        </w:rPr>
        <w:t xml:space="preserve">The cryptographic inheritance of global debt is now executable.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Recursive Proof of Debt Inheritance</dc:title>
  <dc:creator>Professor Codephreak</dc:creator>
  <dc:description>Part III — DELTAVERSE Ecosystem</dc:description>
  <cp:lastModifiedBy>Un-named</cp:lastModifiedBy>
  <cp:revision>1</cp:revision>
  <dcterms:created xsi:type="dcterms:W3CDTF">2026-04-09T23:24:54.349Z</dcterms:created>
  <dcterms:modified xsi:type="dcterms:W3CDTF">2026-04-09T23:24:54.351Z</dcterms:modified>
</cp:coreProperties>
</file>

<file path=docProps/custom.xml><?xml version="1.0" encoding="utf-8"?>
<Properties xmlns="http://schemas.openxmlformats.org/officeDocument/2006/custom-properties" xmlns:vt="http://schemas.openxmlformats.org/officeDocument/2006/docPropsVTypes"/>
</file>