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33.png" ContentType="image/png"/>
  <Override PartName="/word/media/rId28.jpg" ContentType="image/jpeg"/>
  <Override PartName="/word/media/rId27.png" ContentType="image/png"/>
  <Override PartName="/word/media/rId30.jpg" ContentType="image/jpe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Abari</w:t>
      </w:r>
      <w:r>
        <w:t xml:space="preserve"> </w:t>
      </w:r>
      <w:r>
        <w:t xml:space="preserve">Kálmán</w:t>
      </w:r>
    </w:p>
    <w:p>
      <w:pPr>
        <w:pStyle w:val="Date"/>
      </w:pPr>
      <w:r>
        <w:t xml:space="preserve">2021-09-25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2" w:name="óravázlat"/>
    <w:p>
      <w:pPr>
        <w:pStyle w:val="Heading1"/>
      </w:pPr>
      <w:r>
        <w:t xml:space="preserve">Óravázlat</w:t>
      </w:r>
    </w:p>
    <w:p>
      <w:pPr>
        <w:numPr>
          <w:ilvl w:val="0"/>
          <w:numId w:val="1001"/>
        </w:numPr>
        <w:pStyle w:val="Compact"/>
      </w:pPr>
      <w:r>
        <w:t xml:space="preserve">Dokumentációk megbeszélése:</w:t>
      </w:r>
      <w:r>
        <w:t xml:space="preserve"> </w:t>
      </w:r>
      <w:hyperlink r:id="rId20">
        <w:r>
          <w:rPr>
            <w:rStyle w:val="Hyperlink"/>
          </w:rPr>
          <w:t xml:space="preserve">https://abarik.github.io/statisztika/</w:t>
        </w:r>
      </w:hyperlink>
    </w:p>
    <w:p>
      <w:pPr>
        <w:numPr>
          <w:ilvl w:val="0"/>
          <w:numId w:val="1001"/>
        </w:numPr>
        <w:pStyle w:val="Compact"/>
      </w:pPr>
      <w:r>
        <w:t xml:space="preserve">A munka feltételeinek megbeszélése (az R a gyakorlatban videótutorial alapján):</w:t>
      </w:r>
    </w:p>
    <w:p>
      <w:pPr>
        <w:numPr>
          <w:ilvl w:val="1"/>
          <w:numId w:val="1002"/>
        </w:numPr>
        <w:pStyle w:val="Compact"/>
      </w:pPr>
      <w:r>
        <w:t xml:space="preserve">Alap R</w:t>
      </w:r>
    </w:p>
    <w:p>
      <w:pPr>
        <w:numPr>
          <w:ilvl w:val="1"/>
          <w:numId w:val="1002"/>
        </w:numPr>
        <w:pStyle w:val="Compact"/>
      </w:pPr>
      <w:r>
        <w:t xml:space="preserve">RStudio</w:t>
      </w:r>
    </w:p>
    <w:p>
      <w:pPr>
        <w:numPr>
          <w:ilvl w:val="1"/>
          <w:numId w:val="1002"/>
        </w:numPr>
        <w:pStyle w:val="Compact"/>
      </w:pPr>
      <w:r>
        <w:t xml:space="preserve">RStudio alapbeállításai</w:t>
      </w:r>
    </w:p>
    <w:p>
      <w:pPr>
        <w:numPr>
          <w:ilvl w:val="1"/>
          <w:numId w:val="1002"/>
        </w:numPr>
        <w:pStyle w:val="Compact"/>
      </w:pPr>
      <w:r>
        <w:t xml:space="preserve">a projektes használat</w:t>
      </w:r>
    </w:p>
    <w:p>
      <w:pPr>
        <w:numPr>
          <w:ilvl w:val="0"/>
          <w:numId w:val="1001"/>
        </w:numPr>
        <w:pStyle w:val="Compact"/>
      </w:pPr>
      <w:r>
        <w:t xml:space="preserve">Az előzó féléves anyag áttekintése:</w:t>
      </w:r>
      <w:r>
        <w:t xml:space="preserve"> </w:t>
      </w:r>
      <w:r>
        <w:rPr>
          <w:rStyle w:val="VerbatimChar"/>
        </w:rPr>
        <w:t xml:space="preserve">r_parancsok.html</w:t>
      </w:r>
    </w:p>
    <w:p>
      <w:pPr>
        <w:numPr>
          <w:ilvl w:val="0"/>
          <w:numId w:val="1001"/>
        </w:numPr>
        <w:pStyle w:val="Compact"/>
      </w:pPr>
      <w:r>
        <w:t xml:space="preserve">Az</w:t>
      </w:r>
      <w:r>
        <w:t xml:space="preserve"> </w:t>
      </w:r>
      <w:r>
        <w:rPr>
          <w:rStyle w:val="VerbatimChar"/>
        </w:rPr>
        <w:t xml:space="preserve">r_parancsok.html</w:t>
      </w:r>
      <w:r>
        <w:t xml:space="preserve">-ből egy konkrét példa megoldása</w:t>
      </w:r>
      <w:r>
        <w:t xml:space="preserve"> </w:t>
      </w:r>
      <w:r>
        <w:rPr>
          <w:rStyle w:val="VerbatimChar"/>
        </w:rPr>
        <w:t xml:space="preserve">.R</w:t>
      </w:r>
      <w:r>
        <w:t xml:space="preserve"> </w:t>
      </w:r>
      <w:r>
        <w:t xml:space="preserve">kiterjesztésű parancsállomány:</w:t>
      </w:r>
      <w:r>
        <w:t xml:space="preserve"> </w:t>
      </w:r>
      <w:r>
        <w:rPr>
          <w:iCs/>
          <w:i/>
        </w:rPr>
        <w:t xml:space="preserve">Génexpressziós adatokból adott gének kiválasztása</w:t>
      </w:r>
    </w:p>
    <w:p>
      <w:pPr>
        <w:numPr>
          <w:ilvl w:val="0"/>
          <w:numId w:val="1001"/>
        </w:numPr>
        <w:pStyle w:val="Compact"/>
      </w:pPr>
      <w:r>
        <w:t xml:space="preserve">Az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kiterjesztésű RMarkdown állományok megbeszélése. Fontos segítség:</w:t>
      </w:r>
      <w:r>
        <w:t xml:space="preserve"> </w:t>
      </w:r>
      <w:hyperlink r:id="rId21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1"/>
        </w:numPr>
        <w:pStyle w:val="Compact"/>
      </w:pPr>
      <w:r>
        <w:t xml:space="preserve">Az RMarkdown fejléc szerkesztése</w:t>
      </w:r>
    </w:p>
    <w:p>
      <w:pPr>
        <w:numPr>
          <w:ilvl w:val="0"/>
          <w:numId w:val="1001"/>
        </w:numPr>
        <w:pStyle w:val="Compact"/>
      </w:pPr>
      <w:r>
        <w:t xml:space="preserve">Az RMarkdown szövegek szerkesztése</w:t>
      </w:r>
    </w:p>
    <w:p>
      <w:pPr>
        <w:numPr>
          <w:ilvl w:val="1"/>
          <w:numId w:val="1003"/>
        </w:numPr>
        <w:pStyle w:val="Compact"/>
      </w:pPr>
      <w:r>
        <w:t xml:space="preserve">Szöveg formázása (pl. címek, félkövér, dőlt, írógép, idézet, új sor, új bekezdés, felsorolás, számozás)</w:t>
      </w:r>
    </w:p>
    <w:p>
      <w:pPr>
        <w:numPr>
          <w:ilvl w:val="1"/>
          <w:numId w:val="1003"/>
        </w:numPr>
        <w:pStyle w:val="Compact"/>
      </w:pPr>
      <w:r>
        <w:t xml:space="preserve">Latex képletek (bekezdés, inline)</w:t>
      </w:r>
    </w:p>
    <w:p>
      <w:pPr>
        <w:numPr>
          <w:ilvl w:val="1"/>
          <w:numId w:val="1003"/>
        </w:numPr>
        <w:pStyle w:val="Compact"/>
      </w:pPr>
      <w:r>
        <w:t xml:space="preserve">Link és kép beszúrása</w:t>
      </w:r>
    </w:p>
    <w:p>
      <w:pPr>
        <w:numPr>
          <w:ilvl w:val="1"/>
          <w:numId w:val="1003"/>
        </w:numPr>
        <w:pStyle w:val="Compact"/>
      </w:pPr>
      <w:r>
        <w:t xml:space="preserve">Táblázat beszúrása</w:t>
      </w:r>
    </w:p>
    <w:p>
      <w:pPr>
        <w:numPr>
          <w:ilvl w:val="1"/>
          <w:numId w:val="1003"/>
        </w:numPr>
        <w:pStyle w:val="Compact"/>
      </w:pPr>
      <w:r>
        <w:t xml:space="preserve">Lábjegyzet beszúrása</w:t>
      </w:r>
    </w:p>
    <w:p>
      <w:pPr>
        <w:numPr>
          <w:ilvl w:val="1"/>
          <w:numId w:val="1003"/>
        </w:numPr>
        <w:pStyle w:val="Compact"/>
      </w:pPr>
      <w:r>
        <w:t xml:space="preserve">Irodalomjegyzék és szövegközi hivatkozások beszúrása</w:t>
      </w:r>
    </w:p>
    <w:p>
      <w:pPr>
        <w:numPr>
          <w:ilvl w:val="0"/>
          <w:numId w:val="1001"/>
        </w:numPr>
        <w:pStyle w:val="Compact"/>
      </w:pPr>
      <w:r>
        <w:t xml:space="preserve">Az RMarkdown R parancsok kezelése</w:t>
      </w:r>
    </w:p>
    <w:p>
      <w:pPr>
        <w:numPr>
          <w:ilvl w:val="1"/>
          <w:numId w:val="1004"/>
        </w:numPr>
        <w:pStyle w:val="Compact"/>
      </w:pPr>
      <w:r>
        <w:t xml:space="preserve">Inline R parancsok</w:t>
      </w:r>
    </w:p>
    <w:p>
      <w:pPr>
        <w:numPr>
          <w:ilvl w:val="1"/>
          <w:numId w:val="1004"/>
        </w:numPr>
        <w:pStyle w:val="Compact"/>
      </w:pPr>
      <w:r>
        <w:t xml:space="preserve">R csonkok</w:t>
      </w:r>
    </w:p>
    <w:bookmarkEnd w:id="22"/>
    <w:bookmarkStart w:id="23" w:name="ismétlő-példa-megoldása"/>
    <w:p>
      <w:pPr>
        <w:pStyle w:val="Heading1"/>
      </w:pPr>
      <w:r>
        <w:t xml:space="preserve">Ismétlő példa megoldása</w:t>
      </w:r>
    </w:p>
    <w:p>
      <w:pPr>
        <w:pStyle w:val="BlockText"/>
      </w:pPr>
      <w:r>
        <w:rPr>
          <w:bCs/>
          <w:b/>
        </w:rPr>
        <w:t xml:space="preserve">Génexpressziós adatokból adott gének kiválasztása</w:t>
      </w:r>
      <w:r>
        <w:br/>
      </w:r>
      <w:r>
        <w:t xml:space="preserve">Olvassuk be a</w:t>
      </w:r>
      <w:r>
        <w:t xml:space="preserve"> </w:t>
      </w:r>
      <w:r>
        <w:rPr>
          <w:rStyle w:val="VerbatimChar"/>
        </w:rPr>
        <w:t xml:space="preserve">data_RNA_Seq_v2_mRNA_median_Zscores_IDC_lumA_v2.txt</w:t>
      </w:r>
      <w:r>
        <w:t xml:space="preserve"> </w:t>
      </w:r>
      <w:r>
        <w:t xml:space="preserve">állományt, amely Luminal A betegekre vonatkozó génexpressziós adatokat tartalmaz. A sorokban az egy génre vonatkozó adatok találhatók. Az első oszlopban a gén neve, a további 200 oszlopban 200 beteg adata szerepel. A megjelenő számok a génkifejeződés mértéke az egészséges normához képest. Olvassuk be a gene_list.txt állományt is, amely a számunkra érdekes gének nevét tartalmazza, és ez alaján szűrjük le a fenti adatbázist (használjuk az</w:t>
      </w:r>
      <w:r>
        <w:t xml:space="preserve"> </w:t>
      </w:r>
      <w:r>
        <w:rPr>
          <w:rStyle w:val="VerbatimChar"/>
        </w:rPr>
        <w:t xml:space="preserve">%in%</w:t>
      </w:r>
      <w:r>
        <w:t xml:space="preserve"> </w:t>
      </w:r>
      <w:r>
        <w:t xml:space="preserve">relációs operátort).</w:t>
      </w:r>
    </w:p>
    <w:bookmarkEnd w:id="23"/>
    <w:bookmarkStart w:id="25" w:name="szöveg-formázása"/>
    <w:p>
      <w:pPr>
        <w:pStyle w:val="Heading1"/>
      </w:pPr>
      <w:r>
        <w:t xml:space="preserve">Szöveg formázása</w:t>
      </w:r>
    </w:p>
    <w:p>
      <w:pPr>
        <w:pStyle w:val="FirstParagraph"/>
      </w:pPr>
      <w:r>
        <w:t xml:space="preserve">A mindennapi életben elénk kerülő adatok a legalapvetőbb természetük alapján legalább 4 csoportba sorolhatók,</w:t>
      </w:r>
      <w:r>
        <w:t xml:space="preserve"> </w:t>
      </w:r>
      <w:r>
        <w:rPr>
          <w:iCs/>
          <w:i/>
        </w:rPr>
        <w:t xml:space="preserve">számszerű</w:t>
      </w:r>
      <w:r>
        <w:t xml:space="preserve"> </w:t>
      </w:r>
      <w:r>
        <w:t xml:space="preserve">(numerikus),</w:t>
      </w:r>
      <w:r>
        <w:t xml:space="preserve"> </w:t>
      </w:r>
      <w:r>
        <w:rPr>
          <w:iCs/>
          <w:i/>
        </w:rPr>
        <w:t xml:space="preserve">karakteres</w:t>
      </w:r>
      <w:r>
        <w:t xml:space="preserve"> </w:t>
      </w:r>
      <w:r>
        <w:t xml:space="preserve">(sztring),</w:t>
      </w:r>
      <w:r>
        <w:t xml:space="preserve"> </w:t>
      </w:r>
      <w:r>
        <w:rPr>
          <w:iCs/>
          <w:i/>
        </w:rPr>
        <w:t xml:space="preserve">logikai</w:t>
      </w:r>
      <w:r>
        <w:t xml:space="preserve"> </w:t>
      </w:r>
      <w:r>
        <w:t xml:space="preserve">(állítások igazságtartalma, igaz vagy hamis) és</w:t>
      </w:r>
      <w:r>
        <w:t xml:space="preserve"> </w:t>
      </w:r>
      <w:r>
        <w:rPr>
          <w:iCs/>
          <w:i/>
        </w:rPr>
        <w:t xml:space="preserve">dátum/idő</w:t>
      </w:r>
      <w:r>
        <w:t xml:space="preserve"> </w:t>
      </w:r>
      <w:r>
        <w:t xml:space="preserve">jellegű adatokra. A statisztika tudománya is elvégzi az adatok csoportosítását, e szerint egyrészről megkülönböztetünk</w:t>
      </w:r>
      <w:r>
        <w:t xml:space="preserve"> </w:t>
      </w:r>
      <w:r>
        <w:rPr>
          <w:iCs/>
          <w:i/>
        </w:rPr>
        <w:t xml:space="preserve">nominális</w:t>
      </w:r>
      <w:r>
        <w:t xml:space="preserve">,</w:t>
      </w:r>
      <w:r>
        <w:t xml:space="preserve"> </w:t>
      </w:r>
      <w:r>
        <w:rPr>
          <w:iCs/>
          <w:i/>
        </w:rPr>
        <w:t xml:space="preserve">ordinális</w:t>
      </w:r>
      <w:r>
        <w:t xml:space="preserve">,</w:t>
      </w:r>
      <w:r>
        <w:t xml:space="preserve"> </w:t>
      </w:r>
      <w:r>
        <w:rPr>
          <w:iCs/>
          <w:i/>
        </w:rPr>
        <w:t xml:space="preserve">intervallum</w:t>
      </w:r>
      <w:r>
        <w:t xml:space="preserve"> </w:t>
      </w:r>
      <w:r>
        <w:t xml:space="preserve">és</w:t>
      </w:r>
      <w:r>
        <w:t xml:space="preserve"> </w:t>
      </w:r>
      <w:r>
        <w:rPr>
          <w:iCs/>
          <w:i/>
        </w:rPr>
        <w:t xml:space="preserve">arányskálájú</w:t>
      </w:r>
      <w:r>
        <w:t xml:space="preserve"> </w:t>
      </w:r>
      <w:r>
        <w:t xml:space="preserve">változókat (az alapján, hogy mit tudunk tenni a változó értékeivel), másrészt</w:t>
      </w:r>
      <w:r>
        <w:t xml:space="preserve"> </w:t>
      </w:r>
      <w:r>
        <w:rPr>
          <w:iCs/>
          <w:i/>
        </w:rPr>
        <w:t xml:space="preserve">diszkrét</w:t>
      </w:r>
      <w:r>
        <w:t xml:space="preserve"> </w:t>
      </w:r>
      <w:r>
        <w:t xml:space="preserve">és</w:t>
      </w:r>
      <w:r>
        <w:t xml:space="preserve"> </w:t>
      </w:r>
      <w:r>
        <w:rPr>
          <w:iCs/>
          <w:i/>
        </w:rPr>
        <w:t xml:space="preserve">folytonos</w:t>
      </w:r>
      <w:r>
        <w:t xml:space="preserve"> </w:t>
      </w:r>
      <w:r>
        <w:t xml:space="preserve">változókat (az alapján, hogy hány értéke van a változónak). Az adatok jellegének harmadik megközelítését adják az adott statisztikai programcsomag adattípusai, az R-ben például számunkra a legfontosabbak a</w:t>
      </w:r>
      <w:r>
        <w:t xml:space="preserve"> </w:t>
      </w:r>
      <w:r>
        <w:rPr>
          <w:bCs/>
          <w:b/>
        </w:rPr>
        <w:t xml:space="preserve">double</w:t>
      </w:r>
      <w:r>
        <w:t xml:space="preserve">,</w:t>
      </w:r>
      <w:r>
        <w:t xml:space="preserve"> </w:t>
      </w:r>
      <w:r>
        <w:rPr>
          <w:bCs/>
          <w:b/>
        </w:rPr>
        <w:t xml:space="preserve">integer</w:t>
      </w:r>
      <w:r>
        <w:t xml:space="preserve">,</w:t>
      </w:r>
      <w:r>
        <w:t xml:space="preserve"> </w:t>
      </w:r>
      <w:r>
        <w:rPr>
          <w:bCs/>
          <w:b/>
        </w:rPr>
        <w:t xml:space="preserve">karakteres</w:t>
      </w:r>
      <w:r>
        <w:t xml:space="preserve">,</w:t>
      </w:r>
      <w:r>
        <w:t xml:space="preserve"> </w:t>
      </w:r>
      <w:r>
        <w:rPr>
          <w:bCs/>
          <w:b/>
        </w:rPr>
        <w:t xml:space="preserve">logikai</w:t>
      </w:r>
      <w:r>
        <w:t xml:space="preserve">,</w:t>
      </w:r>
      <w:r>
        <w:t xml:space="preserve"> </w:t>
      </w:r>
      <w:r>
        <w:rPr>
          <w:bCs/>
          <w:b/>
        </w:rPr>
        <w:t xml:space="preserve">faktor</w:t>
      </w:r>
      <w:r>
        <w:t xml:space="preserve">,</w:t>
      </w:r>
      <w:r>
        <w:t xml:space="preserve"> </w:t>
      </w:r>
      <w:r>
        <w:rPr>
          <w:bCs/>
          <w:b/>
        </w:rPr>
        <w:t xml:space="preserve">dátum</w:t>
      </w:r>
      <w:r>
        <w:t xml:space="preserve"> </w:t>
      </w:r>
      <w:r>
        <w:t xml:space="preserve">és</w:t>
      </w:r>
      <w:r>
        <w:t xml:space="preserve"> </w:t>
      </w:r>
      <w:r>
        <w:rPr>
          <w:bCs/>
          <w:b/>
        </w:rPr>
        <w:t xml:space="preserve">dátum-idő</w:t>
      </w:r>
      <w:r>
        <w:t xml:space="preserve">. Az R nyelv adattípusait és kapcsolatukat a statisztikai változókategóriákkal és a mindennapi életben használt természetes felosztással a lenti táblázat tartalmazza.</w:t>
      </w:r>
      <w:r>
        <w:br/>
      </w:r>
      <w:r>
        <w:t xml:space="preserve">Az R adattípusokat az 1. oszlop listázza. Az</w:t>
      </w:r>
      <w:r>
        <w:t xml:space="preserve"> </w:t>
      </w:r>
      <w:r>
        <w:rPr>
          <w:rStyle w:val="VerbatimChar"/>
        </w:rPr>
        <w:t xml:space="preserve">str()</w:t>
      </w:r>
      <w:r>
        <w:t xml:space="preserve"> </w:t>
      </w:r>
      <w:r>
        <w:t xml:space="preserve">és</w:t>
      </w:r>
      <w:r>
        <w:t xml:space="preserve"> </w:t>
      </w:r>
      <w:r>
        <w:rPr>
          <w:rStyle w:val="VerbatimChar"/>
        </w:rPr>
        <w:t xml:space="preserve">glimpse()</w:t>
      </w:r>
      <w:r>
        <w:t xml:space="preserve"> </w:t>
      </w:r>
      <w:r>
        <w:t xml:space="preserve">függvényben az adattípus jelölésére használt rövidítések a 2. oszlopban találhatók. A statisztikai skálák és az R adattípusok lehetséges összerendelésit a 3. oszlop mutatja. E szerint</w:t>
      </w:r>
      <w:r>
        <w:t xml:space="preserve"> </w:t>
      </w:r>
      <w:r>
        <w:rPr>
          <w:bCs/>
          <w:b/>
        </w:rPr>
        <w:t xml:space="preserve">egy adatbázisban többnyire double, integer vagy faktor oszlopokat várunk</w:t>
      </w:r>
      <w:r>
        <w:t xml:space="preserve">. A statisztikai változók számossága és az R adattípus közötti összefüggés a 4. oszlopban olvasható. Az utolsó oszlopban az adott adattípus mindennapi életben használatos természetét emeltük ki</w:t>
      </w:r>
      <w:r>
        <w:rPr>
          <w:rStyle w:val="FootnoteReference"/>
        </w:rPr>
        <w:footnoteReference w:id="24"/>
      </w:r>
      <w:r>
        <w:t xml:space="preserve">.</w:t>
      </w:r>
    </w:p>
    <w:p>
      <w:pPr>
        <w:pStyle w:val="BodyText"/>
      </w:pPr>
      <w:r>
        <w:t xml:space="preserve">A táblázat a 4.1.1 R verzió alapján készült.</w:t>
      </w:r>
    </w:p>
    <w:bookmarkEnd w:id="25"/>
    <w:bookmarkStart w:id="26" w:name="táblázat-beszúrása"/>
    <w:p>
      <w:pPr>
        <w:pStyle w:val="Heading1"/>
      </w:pPr>
      <w:r>
        <w:t xml:space="preserve">Táblázat beszúrása</w:t>
      </w:r>
    </w:p>
    <w:p>
      <w:pPr>
        <w:pStyle w:val="TableCaption"/>
      </w:pPr>
      <w:r>
        <w:t xml:space="preserve">Az R adattípusainak jellemzése.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z R adattípusainak jellemzése."/>
      </w:tblPr>
      <w:tblGrid/>
      <w:tr>
        <w:tc>
          <w:p>
            <w:pPr>
              <w:pStyle w:val="Compact"/>
              <w:jc w:val="left"/>
            </w:pPr>
            <w:r>
              <w:t xml:space="preserve">R adattípus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str()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glimpse()</w:t>
            </w:r>
          </w:p>
        </w:tc>
        <w:tc>
          <w:p>
            <w:pPr>
              <w:pStyle w:val="Compact"/>
              <w:jc w:val="left"/>
            </w:pPr>
            <w:r>
              <w:t xml:space="preserve">Skála</w:t>
            </w:r>
          </w:p>
        </w:tc>
        <w:tc>
          <w:p>
            <w:pPr>
              <w:pStyle w:val="Compact"/>
              <w:jc w:val="left"/>
            </w:pPr>
            <w:r>
              <w:t xml:space="preserve">Számosság</w:t>
            </w:r>
          </w:p>
        </w:tc>
        <w:tc>
          <w:p>
            <w:pPr>
              <w:pStyle w:val="Compact"/>
              <w:jc w:val="left"/>
            </w:pPr>
            <w:r>
              <w:t xml:space="preserve">Természet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num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dbl</w:t>
            </w:r>
          </w:p>
        </w:tc>
        <w:tc>
          <w:p>
            <w:pPr>
              <w:pStyle w:val="Compact"/>
              <w:jc w:val="left"/>
            </w:pPr>
            <w:r>
              <w:t xml:space="preserve">intervallum/arány</w:t>
            </w:r>
          </w:p>
        </w:tc>
        <w:tc>
          <w:p>
            <w:pPr>
              <w:pStyle w:val="Compact"/>
              <w:jc w:val="left"/>
            </w:pPr>
            <w:r>
              <w:t xml:space="preserve">folytonos/diszkrét</w:t>
            </w:r>
          </w:p>
        </w:tc>
        <w:tc>
          <w:p>
            <w:pPr>
              <w:pStyle w:val="Compact"/>
              <w:jc w:val="left"/>
            </w:pPr>
            <w:r>
              <w:t xml:space="preserve">Numerikus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int</w:t>
            </w:r>
          </w:p>
        </w:tc>
        <w:tc>
          <w:p>
            <w:pPr>
              <w:pStyle w:val="Compact"/>
              <w:jc w:val="left"/>
            </w:pPr>
            <w:r>
              <w:t xml:space="preserve">ordinális/intervallum/arány</w:t>
            </w:r>
          </w:p>
        </w:tc>
        <w:tc>
          <w:p>
            <w:pPr>
              <w:pStyle w:val="Compact"/>
              <w:jc w:val="left"/>
            </w:pPr>
            <w:r>
              <w:t xml:space="preserve">diszkrét</w:t>
            </w:r>
          </w:p>
        </w:tc>
        <w:tc>
          <w:p>
            <w:pPr>
              <w:pStyle w:val="Compact"/>
              <w:jc w:val="left"/>
            </w:pPr>
            <w:r>
              <w:t xml:space="preserve">Numerikus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karakteres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chr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Karakteres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logikai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logi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lgl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Logikai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faktor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Factor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fct</w:t>
            </w:r>
          </w:p>
        </w:tc>
        <w:tc>
          <w:p>
            <w:pPr>
              <w:pStyle w:val="Compact"/>
              <w:jc w:val="left"/>
            </w:pPr>
            <w:r>
              <w:t xml:space="preserve">nominális/ordinális</w:t>
            </w:r>
          </w:p>
        </w:tc>
        <w:tc>
          <w:p>
            <w:pPr>
              <w:pStyle w:val="Compact"/>
              <w:jc w:val="left"/>
            </w:pPr>
            <w:r>
              <w:t xml:space="preserve">diszkrét (kategorikus)</w:t>
            </w:r>
          </w:p>
        </w:tc>
        <w:tc>
          <w:p>
            <w:pPr>
              <w:pStyle w:val="Compact"/>
              <w:jc w:val="left"/>
            </w:pPr>
            <w:r>
              <w:t xml:space="preserve">Karakteres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dátum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date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Dátum/idő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dátum és idő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POSIXct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dttm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Dátum/idő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], </w:t>
      </w:r>
      <w:r>
        <w:rPr>
          <w:rStyle w:val="AttributeTok"/>
        </w:rPr>
        <w:t xml:space="preserve">longtable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 table generated by the longtable package.'</w:t>
      </w:r>
      <w:r>
        <w:br/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A table generated by the longtable package.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A table generated by the longtable package."/>
      </w:tblPr>
      <w:tblGrid/>
      <w:tr>
        <w:tc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6"/>
    <w:bookmarkStart w:id="32" w:name="képek-beszúrása"/>
    <w:p>
      <w:pPr>
        <w:pStyle w:val="Heading1"/>
      </w:pPr>
      <w:r>
        <w:t xml:space="preserve">Képek beszúrása</w:t>
      </w:r>
    </w:p>
    <w:p>
      <w:pPr>
        <w:pStyle w:val="CaptionedFigure"/>
      </w:pPr>
      <w:r>
        <w:drawing>
          <wp:inline>
            <wp:extent cx="5384800" cy="1863728"/>
            <wp:effectExtent b="0" l="0" r="0" t="0"/>
            <wp:docPr descr="Az R kényelmes használata" title="" id="1" name="Picture"/>
            <a:graphic>
              <a:graphicData uri="http://schemas.openxmlformats.org/drawingml/2006/picture">
                <pic:pic>
                  <pic:nvPicPr>
                    <pic:cNvPr descr="image/alapr-rstudio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86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 R kényelmes használata</w:t>
      </w:r>
    </w:p>
    <w:p>
      <w:pPr>
        <w:pStyle w:val="CaptionedFigure"/>
      </w:pPr>
      <w:r>
        <w:drawing>
          <wp:inline>
            <wp:extent cx="5384800" cy="1863728"/>
            <wp:effectExtent b="0" l="0" r="0" t="0"/>
            <wp:docPr descr="Az R kényelmes használata" title="" id="1" name="Picture"/>
            <a:graphic>
              <a:graphicData uri="http://schemas.openxmlformats.org/drawingml/2006/picture">
                <pic:pic>
                  <pic:nvPicPr>
                    <pic:cNvPr descr="image/alapr-rstudio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86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 R kényelmes használata</w:t>
      </w:r>
    </w:p>
    <w:p>
      <w:pPr>
        <w:pStyle w:val="CaptionedFigure"/>
      </w:pPr>
      <w:r>
        <w:drawing>
          <wp:inline>
            <wp:extent cx="5384800" cy="1863728"/>
            <wp:effectExtent b="0" l="0" r="0" t="0"/>
            <wp:docPr descr="Az R kényelmes használata" title="" id="1" name="Picture"/>
            <a:graphic>
              <a:graphicData uri="http://schemas.openxmlformats.org/drawingml/2006/picture">
                <pic:pic>
                  <pic:nvPicPr>
                    <pic:cNvPr descr="image/alapr-rstudio-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863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 R kényelmes használata</w:t>
      </w:r>
    </w:p>
    <w:p>
      <w:pPr>
        <w:pStyle w:val="CaptionedFigure"/>
      </w:pPr>
      <w:r>
        <w:drawing>
          <wp:inline>
            <wp:extent cx="5384800" cy="1630075"/>
            <wp:effectExtent b="0" l="0" r="0" t="0"/>
            <wp:docPr descr="Az Alap R" title="" id="1" name="Picture"/>
            <a:graphic>
              <a:graphicData uri="http://schemas.openxmlformats.org/drawingml/2006/picture">
                <pic:pic>
                  <pic:nvPicPr>
                    <pic:cNvPr descr="image/alapr-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630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 Alap R</w:t>
      </w:r>
    </w:p>
    <w:p>
      <w:pPr>
        <w:pStyle w:val="CaptionedFigure"/>
      </w:pPr>
      <w:r>
        <w:drawing>
          <wp:inline>
            <wp:extent cx="5191125" cy="3448050"/>
            <wp:effectExtent b="0" l="0" r="0" t="0"/>
            <wp:docPr descr="A konzolok" title="" id="1" name="Picture"/>
            <a:graphic>
              <a:graphicData uri="http://schemas.openxmlformats.org/drawingml/2006/picture">
                <pic:pic>
                  <pic:nvPicPr>
                    <pic:cNvPr descr="image/konzolo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konzolok</w:t>
      </w:r>
    </w:p>
    <w:p>
      <w:pPr>
        <w:pStyle w:val="CaptionedFigure"/>
      </w:pPr>
      <w:r>
        <w:drawing>
          <wp:inline>
            <wp:extent cx="5384800" cy="1943066"/>
            <wp:effectExtent b="0" l="0" r="0" t="0"/>
            <wp:docPr descr="Az R használati módjai" title="" id="1" name="Picture"/>
            <a:graphic>
              <a:graphicData uri="http://schemas.openxmlformats.org/drawingml/2006/picture">
                <pic:pic>
                  <pic:nvPicPr>
                    <pic:cNvPr descr="image/hasznalati_modok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943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 R használati módjai</w:t>
      </w:r>
    </w:p>
    <w:p>
      <w:pPr>
        <w:pStyle w:val="CaptionedFigure"/>
      </w:pPr>
      <w:r>
        <w:drawing>
          <wp:inline>
            <wp:extent cx="5384800" cy="3028950"/>
            <wp:effectExtent b="0" l="0" r="0" t="0"/>
            <wp:docPr descr="Az RMarkdown működése" title="" id="1" name="Picture"/>
            <a:graphic>
              <a:graphicData uri="http://schemas.openxmlformats.org/drawingml/2006/picture">
                <pic:pic>
                  <pic:nvPicPr>
                    <pic:cNvPr descr="image/r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Az RMarkdown működése</w:t>
      </w:r>
    </w:p>
    <w:p>
      <w:pPr>
        <w:pStyle w:val="SourceCode"/>
      </w:pPr>
      <w:r>
        <w:rPr>
          <w:rStyle w:val="NormalTok"/>
        </w:rPr>
        <w:t xml:space="preserve">smoc2_rawcounts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"data/fibrosis_smoc2_rawcounts_unordered.csv"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(smoc2_rawcounts)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smoc2_rawcounts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smoc2_rawcounts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CommentTok"/>
        </w:rPr>
        <w:t xml:space="preserve"># Explore the first six observations of smoc2_rawcounts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(smoc2_rawcounts)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203"/>
        <w:gridCol w:w="1013"/>
        <w:gridCol w:w="1013"/>
        <w:gridCol w:w="887"/>
        <w:gridCol w:w="887"/>
        <w:gridCol w:w="1013"/>
        <w:gridCol w:w="887"/>
        <w:gridCol w:w="1013"/>
      </w:tblGrid>
      <w:tr>
        <w:tc>
          <w:p/>
        </w:tc>
        <w:tc>
          <w:p>
            <w:pPr>
              <w:pStyle w:val="Compact"/>
              <w:jc w:val="right"/>
            </w:pPr>
            <w:r>
              <w:t xml:space="preserve">smoc2_fibrosis1</w:t>
            </w:r>
          </w:p>
        </w:tc>
        <w:tc>
          <w:p>
            <w:pPr>
              <w:pStyle w:val="Compact"/>
              <w:jc w:val="right"/>
            </w:pPr>
            <w:r>
              <w:t xml:space="preserve">smoc2_fibrosis4</w:t>
            </w:r>
          </w:p>
        </w:tc>
        <w:tc>
          <w:p>
            <w:pPr>
              <w:pStyle w:val="Compact"/>
              <w:jc w:val="right"/>
            </w:pPr>
            <w:r>
              <w:t xml:space="preserve">smoc2_normal1</w:t>
            </w:r>
          </w:p>
        </w:tc>
        <w:tc>
          <w:p>
            <w:pPr>
              <w:pStyle w:val="Compact"/>
              <w:jc w:val="right"/>
            </w:pPr>
            <w:r>
              <w:t xml:space="preserve">smoc2_normal3</w:t>
            </w:r>
          </w:p>
        </w:tc>
        <w:tc>
          <w:p>
            <w:pPr>
              <w:pStyle w:val="Compact"/>
              <w:jc w:val="right"/>
            </w:pPr>
            <w:r>
              <w:t xml:space="preserve">smoc2_fibrosis3</w:t>
            </w:r>
          </w:p>
        </w:tc>
        <w:tc>
          <w:p>
            <w:pPr>
              <w:pStyle w:val="Compact"/>
              <w:jc w:val="right"/>
            </w:pPr>
            <w:r>
              <w:t xml:space="preserve">smoc2_normal4</w:t>
            </w:r>
          </w:p>
        </w:tc>
        <w:tc>
          <w:p>
            <w:pPr>
              <w:pStyle w:val="Compact"/>
              <w:jc w:val="right"/>
            </w:pPr>
            <w:r>
              <w:t xml:space="preserve">smoc2_fibrosis2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ENSMUSG00000102693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ENSMUSG00000064842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ENSMUSG00000051951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ENSMUSG00000102851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ENSMUSG00000103377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ENSMUSG00000104017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Explore the structure of smoc2_rawcounts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(smoc2_rawcounts)</w:t>
      </w:r>
    </w:p>
    <w:p>
      <w:pPr>
        <w:pStyle w:val="SourceCode"/>
      </w:pPr>
      <w:r>
        <w:rPr>
          <w:rStyle w:val="VerbatimChar"/>
        </w:rPr>
        <w:t xml:space="preserve">## 'data.frame':    47729 obs. of  7 variables:</w:t>
      </w:r>
      <w:r>
        <w:br/>
      </w:r>
      <w:r>
        <w:rPr>
          <w:rStyle w:val="VerbatimChar"/>
        </w:rPr>
        <w:t xml:space="preserve">##  $ smoc2_fibrosis1: int  0 0 72 0 0 0 0 0 0 1 ...</w:t>
      </w:r>
      <w:r>
        <w:br/>
      </w:r>
      <w:r>
        <w:rPr>
          <w:rStyle w:val="VerbatimChar"/>
        </w:rPr>
        <w:t xml:space="preserve">##  $ smoc2_fibrosis4: int  0 0 30 0 0 0 0 0 0 1 ...</w:t>
      </w:r>
      <w:r>
        <w:br/>
      </w:r>
      <w:r>
        <w:rPr>
          <w:rStyle w:val="VerbatimChar"/>
        </w:rPr>
        <w:t xml:space="preserve">##  $ smoc2_normal1  : int  0 0 0 0 1 0 0 0 0 1 ...</w:t>
      </w:r>
      <w:r>
        <w:br/>
      </w:r>
      <w:r>
        <w:rPr>
          <w:rStyle w:val="VerbatimChar"/>
        </w:rPr>
        <w:t xml:space="preserve">##  $ smoc2_normal3  : int  0 0 3 0 0 0 0 0 0 0 ...</w:t>
      </w:r>
      <w:r>
        <w:br/>
      </w:r>
      <w:r>
        <w:rPr>
          <w:rStyle w:val="VerbatimChar"/>
        </w:rPr>
        <w:t xml:space="preserve">##  $ smoc2_fibrosis3: int  0 0 36 0 0 0 0 0 0 1 ...</w:t>
      </w:r>
      <w:r>
        <w:br/>
      </w:r>
      <w:r>
        <w:rPr>
          <w:rStyle w:val="VerbatimChar"/>
        </w:rPr>
        <w:t xml:space="preserve">##  $ smoc2_normal4  : int  0 0 1 0 0 0 0 0 0 0 ...</w:t>
      </w:r>
      <w:r>
        <w:br/>
      </w:r>
      <w:r>
        <w:rPr>
          <w:rStyle w:val="VerbatimChar"/>
        </w:rPr>
        <w:t xml:space="preserve">##  $ smoc2_fibrosis2: int  0 0 51 0 0 0 0 0 0 1 ...</w:t>
      </w:r>
    </w:p>
    <w:bookmarkEnd w:id="32"/>
    <w:bookmarkStart w:id="34" w:name="r-csonkok"/>
    <w:p>
      <w:pPr>
        <w:pStyle w:val="Heading1"/>
      </w:pPr>
      <w:r>
        <w:t xml:space="preserve">R csonkok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(smoc2_rawcounts)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smoc2_fibrosis1),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_rmarkdown_exampl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(smoc2_rawcounts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smoc2_fibrosis1)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     0.0      0.0      1.0    579.7    184.0 420026.0</w:t>
      </w:r>
    </w:p>
    <w:bookmarkEnd w:id="34"/>
    <w:bookmarkStart w:id="35" w:name="képletek-beszúrása"/>
    <w:p>
      <w:pPr>
        <w:pStyle w:val="Heading1"/>
      </w:pPr>
      <w:r>
        <w:t xml:space="preserve">Képletek beszúrása</w:t>
      </w:r>
    </w:p>
    <w:p>
      <w:pPr>
        <w:pStyle w:val="FirstParagraph"/>
      </w:pPr>
      <w:r>
        <w:t xml:space="preserve">Diszperziós formula:</w:t>
      </w:r>
      <w:r>
        <w:t xml:space="preserve"> </w:t>
      </w:r>
      <m:oMath>
        <m:r>
          <m:t>V</m:t>
        </m:r>
        <m:r>
          <m:t>a</m:t>
        </m:r>
        <m:r>
          <m:t>r</m:t>
        </m:r>
        <m:r>
          <m:rPr>
            <m:sty m:val="p"/>
          </m:rPr>
          <m:t>=</m:t>
        </m:r>
        <m:r>
          <m:t>μ</m:t>
        </m:r>
        <m:r>
          <m:rPr>
            <m:sty m:val="p"/>
          </m:rPr>
          <m:t>+</m:t>
        </m:r>
        <m:r>
          <m:t>α</m:t>
        </m:r>
        <m:r>
          <m:rPr>
            <m:sty m:val="p"/>
          </m:rPr>
          <m:t>×</m:t>
        </m:r>
        <m:sSup>
          <m:e>
            <m:r>
              <m:t>μ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5"/>
        </w:numPr>
        <w:pStyle w:val="Compact"/>
      </w:pPr>
      <m:oMath>
        <m:r>
          <m:t>V</m:t>
        </m:r>
        <m:r>
          <m:t>a</m:t>
        </m:r>
        <m:r>
          <m:t>r</m:t>
        </m:r>
      </m:oMath>
      <w:r>
        <w:t xml:space="preserve">: variancia</w:t>
      </w:r>
    </w:p>
    <w:p>
      <w:pPr>
        <w:numPr>
          <w:ilvl w:val="0"/>
          <w:numId w:val="1005"/>
        </w:numPr>
        <w:pStyle w:val="Compact"/>
      </w:pPr>
      <m:oMath>
        <m:r>
          <m:t>μ</m:t>
        </m:r>
      </m:oMath>
      <w:r>
        <w:t xml:space="preserve">: átlag</w:t>
      </w:r>
    </w:p>
    <w:p>
      <w:pPr>
        <w:numPr>
          <w:ilvl w:val="0"/>
          <w:numId w:val="1005"/>
        </w:numPr>
        <w:pStyle w:val="Compact"/>
      </w:pPr>
      <m:oMath>
        <m:r>
          <m:t>α</m:t>
        </m:r>
      </m:oMath>
      <w:r>
        <w:t xml:space="preserve">: diszperzió</w:t>
      </w:r>
    </w:p>
    <w:p>
      <w:pPr>
        <w:pStyle w:val="FirstParagraph"/>
      </w:pPr>
      <w:r>
        <w:t xml:space="preserve">A negatív binomiális modell: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∼</m:t>
          </m:r>
          <m:r>
            <m:t>N</m:t>
          </m:r>
          <m:r>
            <m:t>B</m:t>
          </m:r>
          <m:r>
            <m:rPr>
              <m:sty m:val="p"/>
            </m:rPr>
            <m:t>(</m:t>
          </m:r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,</m:t>
          </m:r>
          <m:sSub>
            <m:e>
              <m:r>
                <m:t>α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μ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sSub>
            <m:e>
              <m:r>
                <m:t>q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(</m:t>
          </m:r>
          <m:sSub>
            <m:e>
              <m:r>
                <m:t>q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j</m:t>
              </m:r>
            </m:sub>
          </m:sSub>
          <m:sSub>
            <m:e>
              <m:r>
                <m:t>β</m:t>
              </m:r>
            </m:e>
            <m:sub>
              <m:r>
                <m:t>j</m:t>
              </m:r>
            </m:sub>
          </m:sSub>
        </m:oMath>
      </m:oMathPara>
    </w:p>
    <w:p>
      <w:pPr>
        <w:numPr>
          <w:ilvl w:val="0"/>
          <w:numId w:val="1006"/>
        </w:numPr>
        <w:pStyle w:val="Compact"/>
      </w:pPr>
      <m:oMath>
        <m:sSub>
          <m:e>
            <m:r>
              <m:t>K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- nyers count az i. génben a j. mintában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- size factor</w:t>
      </w:r>
    </w:p>
    <w:p>
      <w:pPr>
        <w:numPr>
          <w:ilvl w:val="0"/>
          <w:numId w:val="1006"/>
        </w:numPr>
        <w:pStyle w:val="Compact"/>
      </w:pPr>
      <m:oMath>
        <m:sSub>
          <m:e>
            <m:r>
              <m:t>g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- normalizált count</w:t>
      </w:r>
    </w:p>
    <w:p>
      <w:pPr>
        <w:pStyle w:val="FirstParagraph"/>
      </w:pPr>
      <w:r>
        <w:t xml:space="preserve">A mintaátlag kiszámítása: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num>
          <m:den>
            <m:r>
              <m:t>n</m:t>
            </m:r>
          </m:den>
        </m:f>
      </m:oMath>
    </w:p>
    <w:p>
      <w:pPr>
        <w:pStyle w:val="BodyText"/>
      </w:pPr>
      <w:r>
        <w:t xml:space="preserve">A minta szórása: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n</m:t>
                      </m:r>
                    </m:sub>
                    <m:sup>
                      <m: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m:t>(</m:t>
                      </m:r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  <m:sSup>
                    <m:e>
                      <m:r>
                        <m:rPr>
                          <m:sty m:val="p"/>
                        </m:rPr>
                        <m:t>)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rad>
        </m:oMath>
      </m:oMathPara>
    </w:p>
    <w:bookmarkEnd w:id="35"/>
    <w:bookmarkStart w:id="38" w:name="hivatkozásra-példák"/>
    <w:p>
      <w:pPr>
        <w:pStyle w:val="Heading1"/>
      </w:pPr>
      <w:r>
        <w:t xml:space="preserve">Hivatkozásra példák</w:t>
      </w:r>
    </w:p>
    <w:p>
      <w:pPr>
        <w:pStyle w:val="FirstParagraph"/>
      </w:pPr>
      <w:r>
        <w:t xml:space="preserve">A lenti workflow</w:t>
      </w:r>
      <w:r>
        <w:t xml:space="preserve"> </w:t>
      </w:r>
      <w:r>
        <w:t xml:space="preserve">(</w:t>
      </w:r>
      <w:hyperlink w:anchor="ref-Pipperrana">
        <w:r>
          <w:rPr>
            <w:rStyle w:val="Hyperlink"/>
          </w:rPr>
          <w:t xml:space="preserve">Piper, 2020</w:t>
        </w:r>
      </w:hyperlink>
      <w:r>
        <w:t xml:space="preserve">)</w:t>
      </w:r>
      <w:r>
        <w:t xml:space="preserve"> </w:t>
      </w:r>
      <w:r>
        <w:t xml:space="preserve">alapján készült. Az elemzéshez a</w:t>
      </w:r>
      <w:r>
        <w:t xml:space="preserve"> </w:t>
      </w:r>
      <w:r>
        <w:rPr>
          <w:bCs/>
          <w:b/>
        </w:rPr>
        <w:t xml:space="preserve">DESeq2</w:t>
      </w:r>
      <w:r>
        <w:t xml:space="preserve"> </w:t>
      </w:r>
      <w:r>
        <w:t xml:space="preserve">csomagot használtuk</w:t>
      </w:r>
      <w:r>
        <w:t xml:space="preserve"> </w:t>
      </w:r>
      <w:r>
        <w:t xml:space="preserve">(</w:t>
      </w:r>
      <w:hyperlink w:anchor="ref-Love2014">
        <w:r>
          <w:rPr>
            <w:rStyle w:val="Hyperlink"/>
          </w:rPr>
          <w:t xml:space="preserve">Love és mtsai., 2014</w:t>
        </w:r>
      </w:hyperlink>
      <w:r>
        <w:t xml:space="preserve">)</w:t>
      </w:r>
      <w:r>
        <w:t xml:space="preserve"> </w:t>
      </w:r>
      <w:r>
        <w:t xml:space="preserve">és figyelembe vettük</w:t>
      </w:r>
      <w:r>
        <w:t xml:space="preserve"> </w:t>
      </w:r>
      <w:hyperlink w:anchor="ref-anrlove2020">
        <w:r>
          <w:rPr>
            <w:rStyle w:val="Hyperlink"/>
          </w:rPr>
          <w:t xml:space="preserve">Love és mtsai.</w:t>
        </w:r>
      </w:hyperlink>
      <w:r>
        <w:t xml:space="preserve"> </w:t>
      </w:r>
      <w:r>
        <w:t xml:space="preserve">(</w:t>
      </w:r>
      <w:hyperlink w:anchor="ref-anrlove2020">
        <w:r>
          <w:rPr>
            <w:rStyle w:val="Hyperlink"/>
          </w:rPr>
          <w:t xml:space="preserve">2020</w:t>
        </w:r>
      </w:hyperlink>
      <w:r>
        <w:t xml:space="preserve">)</w:t>
      </w:r>
      <w:r>
        <w:t xml:space="preserve"> </w:t>
      </w:r>
      <w:hyperlink r:id="rId36">
        <w:r>
          <w:rPr>
            <w:rStyle w:val="Hyperlink"/>
          </w:rPr>
          <w:t xml:space="preserve">leírását</w:t>
        </w:r>
      </w:hyperlink>
      <w:r>
        <w:t xml:space="preserve"> </w:t>
      </w:r>
      <w:r>
        <w:t xml:space="preserve">is.</w:t>
      </w:r>
    </w:p>
    <w:p>
      <w:pPr>
        <w:pStyle w:val="BodyText"/>
      </w:pPr>
      <w:r>
        <w:t xml:space="preserve">A workflow-ban használt kutatási kérdések és adatbázisok a</w:t>
      </w:r>
      <w:r>
        <w:t xml:space="preserve"> </w:t>
      </w:r>
      <w:hyperlink w:anchor="ref-Gerarduzzi2017">
        <w:r>
          <w:rPr>
            <w:rStyle w:val="Hyperlink"/>
          </w:rPr>
          <w:t xml:space="preserve">Gerarduzzi és mtsai.</w:t>
        </w:r>
      </w:hyperlink>
      <w:r>
        <w:t xml:space="preserve"> </w:t>
      </w:r>
      <w:r>
        <w:t xml:space="preserve">(</w:t>
      </w:r>
      <w:hyperlink w:anchor="ref-Gerarduzzi2017">
        <w:r>
          <w:rPr>
            <w:rStyle w:val="Hyperlink"/>
          </w:rPr>
          <w:t xml:space="preserve">2017</w:t>
        </w:r>
      </w:hyperlink>
      <w:r>
        <w:t xml:space="preserve">)</w:t>
      </w:r>
      <w:r>
        <w:t xml:space="preserve"> </w:t>
      </w:r>
      <w:r>
        <w:t xml:space="preserve">publikációján alapulnak, az RNS-szekvenálási adatok a Gene Expression Omnibus (GEO) adatbázisból letölthetők (GEO accession:</w:t>
      </w:r>
      <w:r>
        <w:t xml:space="preserve"> </w:t>
      </w:r>
      <w:hyperlink r:id="rId37">
        <w:r>
          <w:rPr>
            <w:rStyle w:val="Hyperlink"/>
          </w:rPr>
          <w:t xml:space="preserve">GSE85209</w:t>
        </w:r>
      </w:hyperlink>
      <w:r>
        <w:t xml:space="preserve">).</w:t>
      </w:r>
    </w:p>
    <w:p>
      <w:pPr>
        <w:pStyle w:val="BodyText"/>
      </w:pPr>
      <w:r>
        <w:t xml:space="preserve">A szövegközi hivatkozás esetei:</w:t>
      </w:r>
    </w:p>
    <w:p>
      <w:pPr>
        <w:numPr>
          <w:ilvl w:val="0"/>
          <w:numId w:val="1007"/>
        </w:numPr>
        <w:pStyle w:val="Compact"/>
      </w:pPr>
      <w:r>
        <w:t xml:space="preserve">(</w:t>
      </w:r>
      <w:hyperlink w:anchor="ref-Love2014">
        <w:r>
          <w:rPr>
            <w:rStyle w:val="Hyperlink"/>
          </w:rPr>
          <w:t xml:space="preserve">Love és mtsai., 2014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hyperlink w:anchor="ref-Love2014">
        <w:r>
          <w:rPr>
            <w:rStyle w:val="Hyperlink"/>
          </w:rPr>
          <w:t xml:space="preserve">Love és mtsai.</w:t>
        </w:r>
      </w:hyperlink>
      <w:r>
        <w:t xml:space="preserve"> </w:t>
      </w:r>
      <w:r>
        <w:t xml:space="preserve">(</w:t>
      </w:r>
      <w:hyperlink w:anchor="ref-Love2014">
        <w:r>
          <w:rPr>
            <w:rStyle w:val="Hyperlink"/>
          </w:rPr>
          <w:t xml:space="preserve">2014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(</w:t>
      </w:r>
      <w:hyperlink w:anchor="ref-Love2014">
        <w:r>
          <w:rPr>
            <w:rStyle w:val="Hyperlink"/>
          </w:rPr>
          <w:t xml:space="preserve">2014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r>
        <w:t xml:space="preserve">(</w:t>
      </w:r>
      <w:hyperlink w:anchor="ref-Gerarduzzi2017">
        <w:r>
          <w:rPr>
            <w:rStyle w:val="Hyperlink"/>
          </w:rPr>
          <w:t xml:space="preserve">Gerarduzzi és mtsai., 2017</w:t>
        </w:r>
      </w:hyperlink>
      <w:r>
        <w:t xml:space="preserve">;</w:t>
      </w:r>
      <w:r>
        <w:t xml:space="preserve"> </w:t>
      </w:r>
      <w:hyperlink w:anchor="ref-Love2014">
        <w:r>
          <w:rPr>
            <w:rStyle w:val="Hyperlink"/>
          </w:rPr>
          <w:t xml:space="preserve">Love és mtsai., 2014</w:t>
        </w:r>
      </w:hyperlink>
      <w:r>
        <w:t xml:space="preserve">)</w:t>
      </w:r>
    </w:p>
    <w:p>
      <w:pPr>
        <w:numPr>
          <w:ilvl w:val="0"/>
          <w:numId w:val="1007"/>
        </w:numPr>
        <w:pStyle w:val="Compact"/>
      </w:pPr>
      <w:hyperlink w:anchor="ref-Love2014">
        <w:r>
          <w:rPr>
            <w:rStyle w:val="Hyperlink"/>
          </w:rPr>
          <w:t xml:space="preserve">Love és mtsai.</w:t>
        </w:r>
      </w:hyperlink>
      <w:r>
        <w:t xml:space="preserve"> </w:t>
      </w:r>
      <w:r>
        <w:t xml:space="preserve">(</w:t>
      </w:r>
      <w:hyperlink w:anchor="ref-Love2014">
        <w:r>
          <w:rPr>
            <w:rStyle w:val="Hyperlink"/>
          </w:rPr>
          <w:t xml:space="preserve">2014</w:t>
        </w:r>
      </w:hyperlink>
      <w:r>
        <w:t xml:space="preserve">p. 33)</w:t>
      </w:r>
    </w:p>
    <w:p>
      <w:pPr>
        <w:numPr>
          <w:ilvl w:val="0"/>
          <w:numId w:val="1007"/>
        </w:numPr>
        <w:pStyle w:val="Compact"/>
      </w:pPr>
      <w:r>
        <w:t xml:space="preserve">(</w:t>
      </w:r>
      <w:hyperlink w:anchor="ref-Love2014">
        <w:r>
          <w:rPr>
            <w:rStyle w:val="Hyperlink"/>
          </w:rPr>
          <w:t xml:space="preserve">Love és mtsai., 2014</w:t>
        </w:r>
      </w:hyperlink>
      <w:r>
        <w:t xml:space="preserve">, pp. 33-35;</w:t>
      </w:r>
      <w:r>
        <w:t xml:space="preserve"> </w:t>
      </w:r>
      <w:hyperlink w:anchor="ref-Gerarduzzi2017">
        <w:r>
          <w:rPr>
            <w:rStyle w:val="Hyperlink"/>
          </w:rPr>
          <w:t xml:space="preserve">Gerarduzzi és mtsai., 2017</w:t>
        </w:r>
      </w:hyperlink>
      <w:r>
        <w:t xml:space="preserve">, ch. 1)</w:t>
      </w:r>
    </w:p>
    <w:bookmarkEnd w:id="38"/>
    <w:bookmarkStart w:id="47" w:name="irodalomjegyzék"/>
    <w:p>
      <w:pPr>
        <w:pStyle w:val="Heading1"/>
      </w:pPr>
      <w:r>
        <w:t xml:space="preserve">Irodalomjegyzék</w:t>
      </w:r>
    </w:p>
    <w:bookmarkStart w:id="46" w:name="refs"/>
    <w:bookmarkStart w:id="40" w:name="ref-Gerarduzzi2017"/>
    <w:p>
      <w:pPr>
        <w:pStyle w:val="Bibliography"/>
      </w:pPr>
      <w:r>
        <w:t xml:space="preserve">Gerarduzzi, C., Kumar, R. K., Trivedi, P., Ajay, A. K., Iyer, A., Boswell, S., Hutchinson, J. N., Waikar, S. S. és Vaidya, V. S. (2017). Silencing</w:t>
      </w:r>
      <w:r>
        <w:t xml:space="preserve"> </w:t>
      </w:r>
      <w:r>
        <w:t xml:space="preserve">SMOC</w:t>
      </w:r>
      <w:r>
        <w:t xml:space="preserve">2 ameliorates kidney fibrosis by inhibiting fibroblast to myofibroblast transformation.</w:t>
      </w:r>
      <w:r>
        <w:t xml:space="preserve"> </w:t>
      </w:r>
      <w:r>
        <w:rPr>
          <w:iCs/>
          <w:i/>
        </w:rPr>
        <w:t xml:space="preserve">JCI</w:t>
      </w:r>
      <w:r>
        <w:rPr>
          <w:iCs/>
          <w:i/>
        </w:rPr>
        <w:t xml:space="preserve"> </w:t>
      </w:r>
      <w:r>
        <w:rPr>
          <w:iCs/>
          <w:i/>
        </w:rPr>
        <w:t xml:space="preserve">Insight</w:t>
      </w:r>
      <w:r>
        <w:t xml:space="preserve">,</w:t>
      </w:r>
      <w:r>
        <w:t xml:space="preserve"> </w:t>
      </w:r>
      <w:r>
        <w:rPr>
          <w:iCs/>
          <w:i/>
        </w:rPr>
        <w:t xml:space="preserve">2</w:t>
      </w:r>
      <w:r>
        <w:t xml:space="preserve">(8).</w:t>
      </w:r>
      <w:r>
        <w:t xml:space="preserve"> </w:t>
      </w:r>
      <w:hyperlink r:id="rId39">
        <w:r>
          <w:rPr>
            <w:rStyle w:val="Hyperlink"/>
          </w:rPr>
          <w:t xml:space="preserve">https://doi.org/10.1172/jci.insight.90299</w:t>
        </w:r>
      </w:hyperlink>
    </w:p>
    <w:bookmarkEnd w:id="40"/>
    <w:bookmarkStart w:id="41" w:name="ref-anrlove2020"/>
    <w:p>
      <w:pPr>
        <w:pStyle w:val="Bibliography"/>
      </w:pPr>
      <w:r>
        <w:t xml:space="preserve">Love, M. I., Anders, S. és Huber, W. (2020).</w:t>
      </w:r>
      <w:r>
        <w:t xml:space="preserve"> </w:t>
      </w:r>
      <w:r>
        <w:rPr>
          <w:iCs/>
          <w:i/>
        </w:rPr>
        <w:t xml:space="preserve">Analyzing RNA-seq data with DESeq2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https://bioconductor.org/packages/release/bioc/vignettes/DESeq2/inst/doc/DESeq2.html</w:t>
        </w:r>
      </w:hyperlink>
    </w:p>
    <w:bookmarkEnd w:id="41"/>
    <w:bookmarkStart w:id="43" w:name="ref-Love2014"/>
    <w:p>
      <w:pPr>
        <w:pStyle w:val="Bibliography"/>
      </w:pPr>
      <w:r>
        <w:t xml:space="preserve">Love, M. I., Huber, W. és Anders, S. (2014). Moderated estimation of fold change and dispersion for</w:t>
      </w:r>
      <w:r>
        <w:t xml:space="preserve"> </w:t>
      </w:r>
      <w:r>
        <w:t xml:space="preserve">RNA</w:t>
      </w:r>
      <w:r>
        <w:t xml:space="preserve">-seq data with</w:t>
      </w:r>
      <w:r>
        <w:t xml:space="preserve"> </w:t>
      </w:r>
      <w:r>
        <w:t xml:space="preserve">DESeq</w:t>
      </w:r>
      <w:r>
        <w:t xml:space="preserve">2.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15</w:t>
      </w:r>
      <w:r>
        <w:t xml:space="preserve">(12).</w:t>
      </w:r>
      <w:r>
        <w:t xml:space="preserve"> </w:t>
      </w:r>
      <w:hyperlink r:id="rId42">
        <w:r>
          <w:rPr>
            <w:rStyle w:val="Hyperlink"/>
          </w:rPr>
          <w:t xml:space="preserve">https://doi.org/10.1186/s13059-014-0550-8</w:t>
        </w:r>
      </w:hyperlink>
    </w:p>
    <w:bookmarkEnd w:id="43"/>
    <w:bookmarkStart w:id="45" w:name="ref-Pipperrana"/>
    <w:p>
      <w:pPr>
        <w:pStyle w:val="Bibliography"/>
      </w:pPr>
      <w:r>
        <w:t xml:space="preserve">Piper, M. (2020).</w:t>
      </w:r>
      <w:r>
        <w:t xml:space="preserve"> </w:t>
      </w:r>
      <w:r>
        <w:rPr>
          <w:iCs/>
          <w:i/>
        </w:rPr>
        <w:t xml:space="preserve">RNA-Seq with Bioconductor in R</w:t>
      </w:r>
      <w:r>
        <w:t xml:space="preserve">.</w:t>
      </w:r>
      <w:r>
        <w:t xml:space="preserve"> </w:t>
      </w:r>
      <w:hyperlink r:id="rId44">
        <w:r>
          <w:rPr>
            <w:rStyle w:val="Hyperlink"/>
          </w:rPr>
          <w:t xml:space="preserve">https://learn.datacamp.com/courses/rna-seq-with-bioconductor-in-r</w:t>
        </w:r>
      </w:hyperlink>
    </w:p>
    <w:bookmarkEnd w:id="45"/>
    <w:bookmarkEnd w:id="46"/>
    <w:bookmarkEnd w:id="47"/>
    <w:sectPr w:rsidR="00FE4713" w:rsidSect="00074B81">
      <w:headerReference w:type="even" r:id="rId11"/>
      <w:headerReference w:type="default" r:id="rId10"/>
      <w:footerReference w:type="even" r:id="rId13"/>
      <w:footerReference w:type="default" r:id="rId12"/>
      <w:headerReference w:type="first" r:id="rId9"/>
      <w:footerReference w:type="first" r:id="rId14"/>
      <w:pgSz w:w="11901" w:h="16840" w:code="9"/>
      <w:pgMar w:top="1418" w:right="1701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1DD" w:rsidRDefault="0022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1DD" w:rsidRDefault="0022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1DD" w:rsidRDefault="002211D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Természetesen más felosztás is elképezhető.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1DD" w:rsidRDefault="002211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1DD" w:rsidRDefault="00221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1DD" w:rsidRDefault="002211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1FECA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C74E2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8F228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274B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2442F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9147B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94C1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4C6DA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472E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C81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5"/>
  </w:num>
  <w:num w:numId="2">
    <w:abstractNumId w:val="19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</w:num>
  <w:num w:numId="11">
    <w:abstractNumId w:val="10"/>
  </w:num>
  <w:num w:numId="12">
    <w:abstractNumId w:val="8"/>
  </w:num>
  <w:num w:numId="13">
    <w:abstractNumId w:val="17"/>
  </w:num>
  <w:num w:numId="14">
    <w:abstractNumId w:val="20"/>
  </w:num>
  <w:num w:numId="15">
    <w:abstractNumId w:val="14"/>
  </w:num>
  <w:num w:numId="16">
    <w:abstractNumId w:val="16"/>
  </w:num>
  <w:num w:numId="17">
    <w:abstractNumId w:val="11"/>
  </w:num>
  <w:num w:numId="18">
    <w:abstractNumId w:val="0"/>
  </w:num>
  <w:num w:numId="19">
    <w:abstractNumId w:val="12"/>
  </w:num>
  <w:num w:numId="20">
    <w:abstractNumId w:val="20"/>
  </w:num>
  <w:num w:numId="21">
    <w:abstractNumId w:val="20"/>
  </w:num>
  <w:num w:numId="22">
    <w:abstractNumId w:val="20"/>
  </w:num>
  <w:num w:numId="23">
    <w:abstractNumId w:val="20"/>
  </w:num>
  <w:num w:numId="24">
    <w:abstractNumId w:val="17"/>
  </w:num>
  <w:num w:numId="25">
    <w:abstractNumId w:val="18"/>
  </w:num>
  <w:num w:numId="26">
    <w:abstractNumId w:val="21"/>
  </w:num>
  <w:num w:numId="27">
    <w:abstractNumId w:val="22"/>
  </w:num>
  <w:num w:numId="28">
    <w:abstractNumId w:val="20"/>
  </w:num>
  <w:num w:numId="29">
    <w:abstractNumId w:val="13"/>
  </w:num>
  <w:num w:numId="30">
    <w:abstractNumId w:val="2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EB096F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Normal"/>
    <w:qFormat/>
    <w:rsid w:val="00CC474B"/>
  </w:style>
  <w:style w:type="paragraph" w:customStyle="1" w:styleId="Abstract">
    <w:name w:val="Abstract"/>
    <w:basedOn w:val="Normal"/>
    <w:next w:val="Keywords"/>
    <w:qFormat/>
    <w:rsid w:val="00310E13"/>
    <w:pPr>
      <w:spacing w:before="360" w:after="300" w:line="360" w:lineRule="auto"/>
      <w:ind w:left="720" w:right="567"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next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00681B"/>
  </w:style>
  <w:style w:type="character" w:customStyle="1" w:styleId="Heading2Char">
    <w:name w:val="Heading 2 Char"/>
    <w:basedOn w:val="DefaultParagraphFont"/>
    <w:link w:val="Heading2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3F193A"/>
    <w:pPr>
      <w:tabs>
        <w:tab w:val="center" w:pos="4320"/>
        <w:tab w:val="right" w:pos="8640"/>
      </w:tabs>
      <w:spacing w:after="120" w:line="240" w:lineRule="auto"/>
      <w:contextualSpacing/>
    </w:pPr>
  </w:style>
  <w:style w:type="character" w:customStyle="1" w:styleId="HeaderChar">
    <w:name w:val="Header Char"/>
    <w:basedOn w:val="DefaultParagraphFont"/>
    <w:link w:val="Header"/>
    <w:rsid w:val="003F193A"/>
    <w:rPr>
      <w:rFonts w:eastAsia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AE6A21"/>
    <w:pPr>
      <w:tabs>
        <w:tab w:val="center" w:pos="4320"/>
        <w:tab w:val="right" w:pos="8640"/>
      </w:tabs>
      <w:spacing w:before="240" w:line="240" w:lineRule="auto"/>
      <w:contextualSpacing/>
    </w:pPr>
  </w:style>
  <w:style w:type="character" w:customStyle="1" w:styleId="FooterChar">
    <w:name w:val="Footer Char"/>
    <w:basedOn w:val="DefaultParagraphFont"/>
    <w:link w:val="Footer"/>
    <w:rsid w:val="00AE6A21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3.xml" /><Relationship Id="rId10" Type="http://schemas.openxmlformats.org/officeDocument/2006/relationships/header" Target="header2.xml" /><Relationship Id="rId11" Type="http://schemas.openxmlformats.org/officeDocument/2006/relationships/header" Target="header1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33" Target="media/rId33.png" /><Relationship Type="http://schemas.openxmlformats.org/officeDocument/2006/relationships/image" Id="rId28" Target="media/rId28.jpg" /><Relationship Type="http://schemas.openxmlformats.org/officeDocument/2006/relationships/image" Id="rId27" Target="media/rId27.png" /><Relationship Type="http://schemas.openxmlformats.org/officeDocument/2006/relationships/image" Id="rId30" Target="media/rId30.jp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20" Target="https://abarik.github.io/statisztika/" TargetMode="External" /><Relationship Type="http://schemas.openxmlformats.org/officeDocument/2006/relationships/hyperlink" Id="rId36" Target="https://bioconductor.org/packages/release/bioc/vignettes/DESeq2/inst/doc/DESeq2.html" TargetMode="External" /><Relationship Type="http://schemas.openxmlformats.org/officeDocument/2006/relationships/hyperlink" Id="rId39" Target="https://doi.org/10.1172/jci.insight.90299" TargetMode="External" /><Relationship Type="http://schemas.openxmlformats.org/officeDocument/2006/relationships/hyperlink" Id="rId42" Target="https://doi.org/10.1186/s13059-014-0550-8" TargetMode="External" /><Relationship Type="http://schemas.openxmlformats.org/officeDocument/2006/relationships/hyperlink" Id="rId44" Target="https://learn.datacamp.com/courses/rna-seq-with-bioconductor-in-r" TargetMode="External" /><Relationship Type="http://schemas.openxmlformats.org/officeDocument/2006/relationships/hyperlink" Id="rId21" Target="https://rstudio.com/resources/cheatsheets/" TargetMode="External" /><Relationship Type="http://schemas.openxmlformats.org/officeDocument/2006/relationships/hyperlink" Id="rId37" Target="https://www.ncbi.nlm.nih.gov/geo/query/acc.cgi?acc=GSE8520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abarik.github.io/statisztika/" TargetMode="External" /><Relationship Type="http://schemas.openxmlformats.org/officeDocument/2006/relationships/hyperlink" Id="rId36" Target="https://bioconductor.org/packages/release/bioc/vignettes/DESeq2/inst/doc/DESeq2.html" TargetMode="External" /><Relationship Type="http://schemas.openxmlformats.org/officeDocument/2006/relationships/hyperlink" Id="rId39" Target="https://doi.org/10.1172/jci.insight.90299" TargetMode="External" /><Relationship Type="http://schemas.openxmlformats.org/officeDocument/2006/relationships/hyperlink" Id="rId42" Target="https://doi.org/10.1186/s13059-014-0550-8" TargetMode="External" /><Relationship Type="http://schemas.openxmlformats.org/officeDocument/2006/relationships/hyperlink" Id="rId44" Target="https://learn.datacamp.com/courses/rna-seq-with-bioconductor-in-r" TargetMode="External" /><Relationship Type="http://schemas.openxmlformats.org/officeDocument/2006/relationships/hyperlink" Id="rId21" Target="https://rstudio.com/resources/cheatsheets/" TargetMode="External" /><Relationship Type="http://schemas.openxmlformats.org/officeDocument/2006/relationships/hyperlink" Id="rId37" Target="https://www.ncbi.nlm.nih.gov/geo/query/acc.cgi?acc=GSE8520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TF_Template_Word_Windows_2016.dotx</Template>
  <TotalTime>61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TF_Template_Word_Windows_2016</vt:lpstr>
    </vt:vector>
  </TitlesOfParts>
  <Company>Informa Plc</Company>
  <LinksUpToDate>false</LinksUpToDate>
  <CharactersWithSpaces>1898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1</dc:title>
  <dc:creator>Abari Kálmán</dc:creator>
  <cp:keywords/>
  <dcterms:created xsi:type="dcterms:W3CDTF">2021-09-25T18:47:43Z</dcterms:created>
  <dcterms:modified xsi:type="dcterms:W3CDTF">2021-09-25T18:47:43Z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reference/reference.bib</vt:lpwstr>
  </property>
  <property fmtid="{D5CDD505-2E9C-101B-9397-08002B2CF9AE}" pid="3" name="csl">
    <vt:lpwstr>reference/apa-no-ampersand-hun.csl</vt:lpwstr>
  </property>
  <property fmtid="{D5CDD505-2E9C-101B-9397-08002B2CF9AE}" pid="4" name="date">
    <vt:lpwstr>2021-09-25</vt:lpwstr>
  </property>
  <property fmtid="{D5CDD505-2E9C-101B-9397-08002B2CF9AE}" pid="5" name="link-citations">
    <vt:lpwstr>yes</vt:lpwstr>
  </property>
  <property fmtid="{D5CDD505-2E9C-101B-9397-08002B2CF9AE}" pid="6" name="output">
    <vt:lpwstr/>
  </property>
</Properties>
</file>