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prijedlog-za-dopuštenje-revizije"/>
    <w:p>
      <w:pPr>
        <w:pStyle w:val="Heading1"/>
      </w:pPr>
      <w:r>
        <w:t xml:space="preserve">PRIJEDLOG ZA DOPUŠTENJE REVIZIJE</w:t>
      </w:r>
    </w:p>
    <w:p>
      <w:pPr>
        <w:pStyle w:val="FirstParagraph"/>
      </w:pPr>
      <w:r>
        <w:rPr>
          <w:b/>
          <w:bCs/>
        </w:rPr>
        <w:t xml:space="preserve">Poslovni broj:</w:t>
      </w:r>
      <w:r>
        <w:t xml:space="preserve"> </w:t>
      </w:r>
      <w:r>
        <w:t xml:space="preserve">P Ob-170/2022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OPĆINSKI GRAĐANSKI SUD U ZAGREBU</w:t>
      </w:r>
      <w:r>
        <w:br/>
      </w:r>
      <w:r>
        <w:t xml:space="preserve">Ulica Grada Vukovara 84</w:t>
      </w:r>
      <w:r>
        <w:br/>
      </w:r>
      <w:r>
        <w:t xml:space="preserve">10000 Zagreb</w:t>
      </w:r>
    </w:p>
    <w:p>
      <w:pPr>
        <w:pStyle w:val="BodyText"/>
      </w:pPr>
      <w:r>
        <w:rPr>
          <w:b/>
          <w:bCs/>
        </w:rPr>
        <w:t xml:space="preserve">– putem prvostupanjskog suda –</w:t>
      </w:r>
    </w:p>
    <w:p>
      <w:pPr>
        <w:pStyle w:val="BodyText"/>
      </w:pPr>
      <w:r>
        <w:rPr>
          <w:b/>
          <w:bCs/>
        </w:rPr>
        <w:t xml:space="preserve">za</w:t>
      </w:r>
    </w:p>
    <w:p>
      <w:pPr>
        <w:pStyle w:val="BodyText"/>
      </w:pPr>
      <w:r>
        <w:rPr>
          <w:b/>
          <w:bCs/>
        </w:rPr>
        <w:t xml:space="preserve">VRHOVNI SUD REPUBLIKE HRVATSKE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Tužitelj:</w:t>
      </w:r>
      <w:r>
        <w:t xml:space="preserve"> </w:t>
      </w:r>
      <w:r>
        <w:t xml:space="preserve">Ante Barišić, Zagreb, Kutnjački put 2a, OIB: 68763292045</w:t>
      </w:r>
    </w:p>
    <w:p>
      <w:pPr>
        <w:pStyle w:val="BodyText"/>
      </w:pPr>
      <w:r>
        <w:rPr>
          <w:b/>
          <w:bCs/>
        </w:rPr>
        <w:t xml:space="preserve">Tuženik:</w:t>
      </w:r>
      <w:r>
        <w:t xml:space="preserve"> </w:t>
      </w:r>
      <w:r>
        <w:t xml:space="preserve">Ana Kunović, Zagreb, Crvenog križa 25, OIB: 97120559297,</w:t>
      </w:r>
      <w:r>
        <w:br/>
      </w:r>
      <w:r>
        <w:t xml:space="preserve">zastupana po Kristini Rakuši, odvjetnici iz Zagreba</w:t>
      </w:r>
    </w:p>
    <w:p>
      <w:r>
        <w:pict>
          <v:rect style="width:0;height:1.5pt" o:hralign="center" o:hrstd="t" o:hr="t"/>
        </w:pict>
      </w:r>
    </w:p>
    <w:bookmarkStart w:id="20" w:name="prijedlog-za-dopuštenje-revizije-1"/>
    <w:p>
      <w:pPr>
        <w:pStyle w:val="Heading2"/>
      </w:pPr>
      <w:r>
        <w:t xml:space="preserve">PRIJEDLOG ZA DOPUŠTENJE REVIZIJE</w:t>
      </w:r>
    </w:p>
    <w:p>
      <w:pPr>
        <w:pStyle w:val="FirstParagraph"/>
      </w:pPr>
      <w:r>
        <w:t xml:space="preserve">protiv presude i rješenja Općinskog građanskog suda u Zagrebu poslovni broj P Ob-170/2022-134 od 30. lipnja 2025. i presude i rješenja Županijskog suda u Splitu poslovni broj Gž Ob-214/2025-3 od 16. listopada 2025.</w:t>
      </w:r>
    </w:p>
    <w:p>
      <w:r>
        <w:pict>
          <v:rect style="width:0;height:1.5pt" o:hralign="center" o:hrstd="t" o:hr="t"/>
        </w:pict>
      </w:r>
    </w:p>
    <w:bookmarkEnd w:id="20"/>
    <w:bookmarkStart w:id="21" w:name="i.-uvod"/>
    <w:p>
      <w:pPr>
        <w:pStyle w:val="Heading2"/>
      </w:pPr>
      <w:r>
        <w:t xml:space="preserve">I. UVOD</w:t>
      </w:r>
    </w:p>
    <w:p>
      <w:pPr>
        <w:numPr>
          <w:ilvl w:val="0"/>
          <w:numId w:val="1001"/>
        </w:numPr>
      </w:pPr>
      <w:r>
        <w:t xml:space="preserve">Tužitelj u otvorenom roku, pozivom na odredbu članka 385.a stavak 1. točka 1. i stavak 2. Zakona o parničnom postupku (dalje: ZPP), podnosi prijedlog za dopuštenje revizije protiv pravomoćne drugostupanjske presude navedene u zaglavlju.</w:t>
      </w:r>
    </w:p>
    <w:p>
      <w:pPr>
        <w:numPr>
          <w:ilvl w:val="0"/>
          <w:numId w:val="1001"/>
        </w:numPr>
      </w:pPr>
      <w:r>
        <w:t xml:space="preserve">Predmet spora je uređenje roditeljske skrbi i osobnih odnosa s maloljetnim djetetom.</w:t>
      </w:r>
    </w:p>
    <w:p>
      <w:pPr>
        <w:numPr>
          <w:ilvl w:val="0"/>
          <w:numId w:val="1001"/>
        </w:numPr>
      </w:pPr>
      <w:r>
        <w:t xml:space="preserve">Revizija se podnosi zbog pravnog pitanja važnog za osiguranje jedinstvene primjene prava i ravnopravnosti svih u njegovoj primjeni, pri čemu odluke nižestupanjskih sudova odstupaju od prakse Vrhovnog suda Republike Hrvatske i Ustavnog suda Republike Hrvatske.</w:t>
      </w:r>
    </w:p>
    <w:p>
      <w:r>
        <w:pict>
          <v:rect style="width:0;height:1.5pt" o:hralign="center" o:hrstd="t" o:hr="t"/>
        </w:pict>
      </w:r>
    </w:p>
    <w:bookmarkEnd w:id="21"/>
    <w:bookmarkStart w:id="22" w:name="ii.-pravno-pitanje"/>
    <w:p>
      <w:pPr>
        <w:pStyle w:val="Heading2"/>
      </w:pPr>
      <w:r>
        <w:t xml:space="preserve">II. PRAVNO PITANJE</w:t>
      </w:r>
    </w:p>
    <w:p>
      <w:pPr>
        <w:pStyle w:val="FirstParagraph"/>
      </w:pPr>
      <w:r>
        <w:rPr>
          <w:b/>
          <w:bCs/>
        </w:rPr>
        <w:t xml:space="preserve">Je li sud ovlašten djelomično ne prihvatiti nalaz i mišljenje vještaka te ga zamijeniti vlastitom ocjenom bez prethodnog usmenog saslušanja vještaka i bez provođenja dodatnog ili novog vještačenja, kada smatra da je vještački nalaz nejasan ili nepotpun, sukladno člancima 259., 260. stavak 2. i 261. stavak 2. i 3. Zakona o parničnom postupku?</w:t>
      </w:r>
    </w:p>
    <w:p>
      <w:r>
        <w:pict>
          <v:rect style="width:0;height:1.5pt" o:hralign="center" o:hrstd="t" o:hr="t"/>
        </w:pict>
      </w:r>
    </w:p>
    <w:bookmarkEnd w:id="22"/>
    <w:bookmarkStart w:id="26" w:name="iii.-važnost-pravnog-pitanja"/>
    <w:p>
      <w:pPr>
        <w:pStyle w:val="Heading2"/>
      </w:pPr>
      <w:r>
        <w:t xml:space="preserve">III. VAŽNOST PRAVNOG PITANJA</w:t>
      </w:r>
    </w:p>
    <w:bookmarkStart w:id="23" w:name="a.-što-je-sud-učinio"/>
    <w:p>
      <w:pPr>
        <w:pStyle w:val="Heading3"/>
      </w:pPr>
      <w:r>
        <w:t xml:space="preserve">A. Što je sud učinio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Rješenjem od 2. svibnja 2023. sud je odredio psihijatrijsko-psihologijsko vještačenje radi utvrđivanja roditeljskih kapaciteta oba roditelja, njihovog psihološko-psihijatrijskog statusa, eventualnih ograničenja te odnosa roditelja s djetetom i volje djeteta.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Nalazom i mišljenjem vještaka od 6. prosinca 2023. utvrđeno je:</w:t>
      </w:r>
    </w:p>
    <w:p>
      <w:pPr>
        <w:pStyle w:val="BlockText"/>
      </w:pPr>
      <w:r>
        <w:rPr>
          <w:i/>
          <w:iCs/>
        </w:rPr>
        <w:t xml:space="preserve">„Kod Ante Barišića, što se tiče roditeljske uloge, možemo reći da je kompetentan u toj ulozi te realan u procjeni djetetovih potreba, naglašava važnost zajedničke skrbi za dijete te se stječe dojam da neće opstruirati odnos majke i djeteta.”</w:t>
      </w:r>
    </w:p>
    <w:p>
      <w:pPr>
        <w:pStyle w:val="FirstParagraph"/>
      </w:pPr>
      <w:r>
        <w:t xml:space="preserve">Na nalaz i mišljenje vještaka</w:t>
      </w:r>
      <w:r>
        <w:t xml:space="preserve"> </w:t>
      </w:r>
      <w:r>
        <w:rPr>
          <w:b/>
          <w:bCs/>
        </w:rPr>
        <w:t xml:space="preserve">stranke nisu imale primjedbe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Posebna skrbnica u podnesku od 21. prosinca 2023. navela je:</w:t>
      </w:r>
    </w:p>
    <w:p>
      <w:pPr>
        <w:pStyle w:val="BlockText"/>
      </w:pPr>
      <w:r>
        <w:rPr>
          <w:i/>
          <w:iCs/>
        </w:rPr>
        <w:t xml:space="preserve">„…imajući u vidu da je vještačenjem provedena dijagnostička obrada roditelja i djeteta u skladu sa specifičnim znanjima i vještinama stručnjaka, kao posebna skrbnica navodim kako nemam prigovora na nalaz i mišljenje vještaka te ga prihvaćam u cijelosti.”</w: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Međutim, prvostupanjski sud u obrazloženju pobijane presude (točka 28.) navodi da</w:t>
      </w:r>
      <w:r>
        <w:t xml:space="preserve"> </w:t>
      </w:r>
      <w:r>
        <w:rPr>
          <w:b/>
          <w:bCs/>
        </w:rPr>
        <w:t xml:space="preserve">ne prihvaća</w:t>
      </w:r>
      <w:r>
        <w:t xml:space="preserve"> </w:t>
      </w:r>
      <w:r>
        <w:t xml:space="preserve">mišljenje Zavoda niti vještaka u dijelu u kojem navode da na strani oca ne postoje poteškoće vezano za roditeljske kompetencije, te utvrđuje:</w:t>
      </w:r>
    </w:p>
    <w:p>
      <w:pPr>
        <w:pStyle w:val="BlockText"/>
      </w:pPr>
      <w:r>
        <w:rPr>
          <w:i/>
          <w:iCs/>
        </w:rPr>
        <w:t xml:space="preserve">„Kako je utvrđeno da su na strani oca prisutna u većoj mjeri ponašanja iz kojih proizlazi da ne prepoznaje djetetove potrebe, da zanemaruje emotivne potrebe djeteta…“</w:t>
      </w:r>
    </w:p>
    <w:p>
      <w:pPr>
        <w:pStyle w:val="FirstParagraph"/>
      </w:pPr>
      <w:r>
        <w:rPr>
          <w:b/>
          <w:bCs/>
        </w:rPr>
        <w:t xml:space="preserve">5.</w:t>
      </w:r>
      <w:r>
        <w:t xml:space="preserve"> </w:t>
      </w:r>
      <w:r>
        <w:t xml:space="preserve">Sud je do ovog zaključka došao</w:t>
      </w:r>
      <w:r>
        <w:t xml:space="preserve"> </w:t>
      </w:r>
      <w:r>
        <w:rPr>
          <w:b/>
          <w:bCs/>
        </w:rPr>
        <w:t xml:space="preserve">bez:</w:t>
      </w:r>
      <w:r>
        <w:t xml:space="preserve"> </w:t>
      </w:r>
      <w:r>
        <w:t xml:space="preserve">- usmenog saslušanja vještaka na raspravi (članak 260. stavak 2. ZPP)</w:t>
      </w:r>
      <w:r>
        <w:t xml:space="preserve"> </w:t>
      </w:r>
      <w:r>
        <w:t xml:space="preserve">- traženja objašnjenja u vezi s nalazom (članak 259. stavak 1. ZPP)</w:t>
      </w:r>
      <w:r>
        <w:t xml:space="preserve"> </w:t>
      </w:r>
      <w:r>
        <w:t xml:space="preserve">- provođenja dodatnog ili novog vještačenja (članak 261. stavak 2. i 3. ZPP)</w:t>
      </w:r>
    </w:p>
    <w:bookmarkEnd w:id="23"/>
    <w:bookmarkStart w:id="24" w:name="Xb27aa020e17f55dca9d48cf2900ef0971d53267"/>
    <w:p>
      <w:pPr>
        <w:pStyle w:val="Heading3"/>
      </w:pPr>
      <w:r>
        <w:t xml:space="preserve">B. Zašto je to suprotno praksi Vrhovnog suda i Ustavnog suda</w:t>
      </w:r>
    </w:p>
    <w:p>
      <w:pPr>
        <w:pStyle w:val="FirstParagraph"/>
      </w:pPr>
      <w:r>
        <w:rPr>
          <w:b/>
          <w:bCs/>
        </w:rPr>
        <w:t xml:space="preserve">1. Vrhovni sud RH – Rev 1289/2022-3 od 26. srpnja 2023.</w:t>
      </w:r>
    </w:p>
    <w:p>
      <w:pPr>
        <w:pStyle w:val="BlockText"/>
      </w:pPr>
      <w:r>
        <w:rPr>
          <w:i/>
          <w:iCs/>
        </w:rPr>
        <w:t xml:space="preserve">„Nejasnoće u nalazu i mišljenju vještaka ne otklanjaju se tako da se sudu nejasni dijelovi nalaza i mišljenja ne prihvate, već dopunom vještačenja, i to, kako je propisano, usmeno na raspravi (čl. 260. st. 1. ZPP). (…) Način na koji je drugostupanjski sud u ovome postupku koristio nalaz i mišljenje vještaka nije u skladu s navedenim odredbama ZPP-a iz kojih proizlazi da nejasne dijelove vještačenja, koji se odnose na odlučne činjenice, nije dopušteno ignorirati selektivnim prihvaćanjem samo onih dijelova nalaza i mišljenja koji su sudu jasni.”</w:t>
      </w:r>
    </w:p>
    <w:p>
      <w:pPr>
        <w:pStyle w:val="FirstParagraph"/>
      </w:pPr>
      <w:r>
        <w:rPr>
          <w:b/>
          <w:bCs/>
        </w:rPr>
        <w:t xml:space="preserve">Napomena:</w:t>
      </w:r>
      <w:r>
        <w:t xml:space="preserve"> </w:t>
      </w:r>
      <w:r>
        <w:t xml:space="preserve">Ova odluka Vrhovnog suda donesena je upravo protiv odluke Županijskog suda u Splitu (Gž Ob-33/2020-95), u čijem je donošenju sudjelovao isti sudac koji je bio sudac izvjestitelj i u ovoj pravnoj stvari.</w:t>
      </w:r>
    </w:p>
    <w:p>
      <w:pPr>
        <w:pStyle w:val="BodyText"/>
      </w:pPr>
      <w:r>
        <w:rPr>
          <w:b/>
          <w:bCs/>
        </w:rPr>
        <w:t xml:space="preserve">2. Vrhovni sud RH – Rev 127/2024-2 od 1. veljače 2024.</w:t>
      </w:r>
    </w:p>
    <w:p>
      <w:pPr>
        <w:pStyle w:val="BlockText"/>
      </w:pPr>
      <w:r>
        <w:rPr>
          <w:i/>
          <w:iCs/>
        </w:rPr>
        <w:t xml:space="preserve">„Nižestupanjski sudovi nisu mogli primijeniti pravilo o teretu dokazivanja, a da prethodno nisu postupili sukladno odredbi čl. 261. st. 2. odnosno odredbi čl. 261. st. 3. ZPP, odnosno da prethodno nisu otklonili manjkavosti iz nalaza i mišljenja vještaka.”</w:t>
      </w:r>
    </w:p>
    <w:p>
      <w:pPr>
        <w:pStyle w:val="FirstParagraph"/>
      </w:pPr>
      <w:r>
        <w:rPr>
          <w:b/>
          <w:bCs/>
        </w:rPr>
        <w:t xml:space="preserve">3. Ustavni sud RH – U-III/4080/2019 od prosinca 2021.</w:t>
      </w:r>
    </w:p>
    <w:p>
      <w:pPr>
        <w:pStyle w:val="BlockText"/>
      </w:pPr>
      <w:r>
        <w:rPr>
          <w:i/>
          <w:iCs/>
        </w:rPr>
        <w:t xml:space="preserve">„U slučaju kada sud ne prihvaća nalaz i mišljenje sudskog vještaka o činjenicama o kojima sud ne raspolaže stručnim znanjem, tada obrazloženje mora biti takvo da ne ostavlja nikakvu dvojbu o postojanju ili nepostojanju odlučnih činjenica. (…) Propuštanjem provođenja dodatnog vještačenja po istom ili drugom vještaku sud je nerazmjerno ograničio mogućnost stranke da dokazuje tvrdnje, čime ju je doveo u neravnopravni položaj.”</w:t>
      </w:r>
    </w:p>
    <w:bookmarkEnd w:id="24"/>
    <w:bookmarkStart w:id="25" w:name="X69225da0a6bc648c682c5cba2ea241647e3252c"/>
    <w:p>
      <w:pPr>
        <w:pStyle w:val="Heading3"/>
      </w:pPr>
      <w:r>
        <w:t xml:space="preserve">C. Zašto je pitanje važno za jedinstvenu primjenu prava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Pitanje ocjene vještačkih nalaza pojavljuje se u svim postupcima u kojima se provodi vještačenje, a posebno je osjetljivo u obiteljskim sporovima gdje se odlučuje o najboljim interesima djeteta.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Isti sudac izvjestitelj koji je sudjelovao u donošenju odluke koju je Vrhovni sud ukinuo (Rev 1289/2022-3) sada, dvije godine kasnije,</w:t>
      </w:r>
      <w:r>
        <w:t xml:space="preserve"> </w:t>
      </w:r>
      <w:r>
        <w:rPr>
          <w:b/>
          <w:bCs/>
        </w:rPr>
        <w:t xml:space="preserve">ponavlja identičan obrazac postupanja</w:t>
      </w:r>
      <w:r>
        <w:t xml:space="preserve"> </w:t>
      </w:r>
      <w:r>
        <w:t xml:space="preserve">– selektivno prihvaćanje dijelova vještačkog nalaza bez primjene članka 261. ZPP.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Županijski sud u Splitu nije obrazložio zašto odstupa od navedene prakse Vrhovnog suda, iako je tužitelj u žalbi izričito ukazao na odluku Rev 1289/2022-3.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Ovakvo postupanje dovodi do pravne nesigurnosti i arbitrarnosti u primjeni procesnih pravila, što je suprotno načelu vladavine prava.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iv.-obrazloženje-povrede"/>
    <w:p>
      <w:pPr>
        <w:pStyle w:val="Heading2"/>
      </w:pPr>
      <w:r>
        <w:t xml:space="preserve">IV. OBRAZLOŽENJE POVREDE</w:t>
      </w:r>
    </w:p>
    <w:bookmarkStart w:id="27" w:name="a.-procesni-propust"/>
    <w:p>
      <w:pPr>
        <w:pStyle w:val="Heading3"/>
      </w:pPr>
      <w:r>
        <w:t xml:space="preserve">A. Procesni propust</w:t>
      </w:r>
    </w:p>
    <w:p>
      <w:pPr>
        <w:pStyle w:val="FirstParagraph"/>
      </w:pPr>
      <w:r>
        <w:t xml:space="preserve">Sud je, suočen s nalazom i mišljenjem vještaka s kojim se nije slagao, propustio postupiti sukladno članku 261. stavak 2. i 3. ZPP koji izričito propisuje:</w:t>
      </w:r>
    </w:p>
    <w:p>
      <w:pPr>
        <w:pStyle w:val="BlockText"/>
      </w:pPr>
      <w:r>
        <w:rPr>
          <w:i/>
          <w:iCs/>
        </w:rPr>
        <w:t xml:space="preserve">„Ako je nalaz jednog ili više vještaka nejasan, nepotpun ili u proturječnosti sam sa sobom ili s izviđenim okolnostima, a ti se nedostaci ne mogu otkloniti ponovnim saslušanjem vještaka, obnovit će se vještačenje s istim ili drugim vještacima.”</w:t>
      </w:r>
    </w:p>
    <w:p>
      <w:pPr>
        <w:pStyle w:val="FirstParagraph"/>
      </w:pPr>
      <w:r>
        <w:t xml:space="preserve">Umjesto toga, sud je sam, bez stručnog znanja iz područja psihologije i psihijatrije, zamijenio ocjenu vještaka, HZSR-a i posebne skrbnice – svih stručnih tijela koja su utvrdila da je tužitelj kompetentan roditelj.</w:t>
      </w:r>
    </w:p>
    <w:bookmarkEnd w:id="27"/>
    <w:bookmarkStart w:id="28" w:name="b.-posljedica-na-mogućnost-raspravljanja"/>
    <w:p>
      <w:pPr>
        <w:pStyle w:val="Heading3"/>
      </w:pPr>
      <w:r>
        <w:t xml:space="preserve">B. Posljedica na mogućnost raspravljanja</w:t>
      </w:r>
    </w:p>
    <w:p>
      <w:pPr>
        <w:pStyle w:val="FirstParagraph"/>
      </w:pPr>
      <w:r>
        <w:t xml:space="preserve">Tužitelj nije imao mogućnost raspravljanja o primjedbama suda na nalaz vještaka jer one nisu bile iznesene tijekom postupka, nego tek u obrazloženju presude. Time je postupak dobio karakter „odluke iznenađenja” protivno odredbi članka 5. stavka 4. ZPP:</w:t>
      </w:r>
    </w:p>
    <w:p>
      <w:pPr>
        <w:pStyle w:val="BlockText"/>
      </w:pPr>
      <w:r>
        <w:rPr>
          <w:i/>
          <w:iCs/>
        </w:rPr>
        <w:t xml:space="preserve">„Sud ne može svoju odluku utemeljiti na pravnoj osnovi koja je bitno različita od one o kojoj se u postupku raspravljalo i koju savjesna i brižljiva stranka nije mogla razumno predvidjeti.”</w:t>
      </w:r>
    </w:p>
    <w:bookmarkEnd w:id="28"/>
    <w:bookmarkStart w:id="29" w:name="X906ec0a56ba9ae4e32a73389c279698bb8eaceb"/>
    <w:p>
      <w:pPr>
        <w:pStyle w:val="Heading3"/>
      </w:pPr>
      <w:r>
        <w:t xml:space="preserve">C. Bitna povreda odredaba parničnog postupka</w:t>
      </w:r>
    </w:p>
    <w:p>
      <w:pPr>
        <w:pStyle w:val="FirstParagraph"/>
      </w:pPr>
      <w:r>
        <w:t xml:space="preserve">Opisanim postupanjem počinjena je bitna povreda odredaba parničnog postupka iz članka 354. stavak 1. u vezi s člankom 261. stavak 2. i 3. ZPP, te članka 354. stavak 2. točka 6. ZPP jer je tužitelj bio onemogućen u raspravljanju o okolnostima koje je sud smatrao odlučnima.</w:t>
      </w:r>
    </w:p>
    <w:bookmarkEnd w:id="29"/>
    <w:bookmarkStart w:id="30" w:name="d.-povreda-prava-na-pravično-suđenje"/>
    <w:p>
      <w:pPr>
        <w:pStyle w:val="Heading3"/>
      </w:pPr>
      <w:r>
        <w:t xml:space="preserve">D. Povreda prava na pravično suđenje</w:t>
      </w:r>
    </w:p>
    <w:p>
      <w:pPr>
        <w:pStyle w:val="FirstParagraph"/>
      </w:pPr>
      <w:r>
        <w:t xml:space="preserve">Arbitrarno postupanje suda – zamjena stručnog mišljenja vlastitom ocjenom bez zakonom propisane procedure – predstavlja povredu prava na pravično suđenje zajamčenog člankom 29. stavak 1. Ustava Republike Hrvatske i člankom 6. stavak 1. Europske konvencije za zaštitu ljudskih prava i temeljnih sloboda.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Xade79d5f244d4d9651d53da846640945938b343"/>
    <w:p>
      <w:pPr>
        <w:pStyle w:val="Heading2"/>
      </w:pPr>
      <w:r>
        <w:t xml:space="preserve">V. NEPOSTUPANJE PO PRIJEDLOZIMA ZA PRIVREMENU MJERU</w:t>
      </w:r>
    </w:p>
    <w:bookmarkStart w:id="32" w:name="a.-kronologija"/>
    <w:p>
      <w:pPr>
        <w:pStyle w:val="Heading3"/>
      </w:pPr>
      <w:r>
        <w:t xml:space="preserve">A. Kronologija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66"/>
        <w:gridCol w:w="1980"/>
        <w:gridCol w:w="2893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Podnositelj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Sadržaj prijedloga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Odluka suda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6.3.2023.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HZSR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Proširenje osobnih odnosa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Nije postupljeno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23.3.2023.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Tužitelj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Prihvaćanje prijedloga HZSR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Nije postupljeno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21.12.2023.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Tužitelj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Donošenje privremene mjere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Nije postupljeno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10.6.2024.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Tužitelj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Ponavljanje prijedloga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Nije postupljeno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28.1.2025.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HZSR + posebna skrbnica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Konačno mišljenje za proširenje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Nije postupljeno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30.6.2025.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Prvostupanjska presuda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</w:tbl>
    <w:p>
      <w:pPr>
        <w:pStyle w:val="BodyText"/>
      </w:pPr>
      <w:r>
        <w:rPr>
          <w:b/>
          <w:bCs/>
        </w:rPr>
        <w:t xml:space="preserve">Razdoblje nepostupanja:</w:t>
      </w:r>
      <w:r>
        <w:t xml:space="preserve"> </w:t>
      </w:r>
      <w:r>
        <w:t xml:space="preserve">više od 27 mjeseci.</w:t>
      </w:r>
    </w:p>
    <w:bookmarkEnd w:id="32"/>
    <w:bookmarkStart w:id="33" w:name="Xc5f5f622bf69a42fa07fca9596a7e51a5c88e99"/>
    <w:p>
      <w:pPr>
        <w:pStyle w:val="Heading3"/>
      </w:pPr>
      <w:r>
        <w:t xml:space="preserve">B. Praksa Europskog suda za ljudska prava</w:t>
      </w:r>
    </w:p>
    <w:p>
      <w:pPr>
        <w:pStyle w:val="FirstParagraph"/>
      </w:pPr>
      <w:r>
        <w:rPr>
          <w:b/>
          <w:bCs/>
        </w:rPr>
        <w:t xml:space="preserve">Gluhaković protiv Hrvatske (br. 21188/09, § 56.):</w:t>
      </w:r>
    </w:p>
    <w:p>
      <w:pPr>
        <w:pStyle w:val="BlockText"/>
      </w:pPr>
      <w:r>
        <w:rPr>
          <w:i/>
          <w:iCs/>
        </w:rPr>
        <w:t xml:space="preserve">„U predmetima vezanima za odnos osobe s njezinim djetetom postoji obveza primjene iznimne marnosti postupanja s obzirom na opasnost da s prolaskom vremena može doći do de facto odlučivanja o pojedinom pitanju.”</w:t>
      </w:r>
    </w:p>
    <w:p>
      <w:pPr>
        <w:pStyle w:val="FirstParagraph"/>
      </w:pPr>
      <w:r>
        <w:rPr>
          <w:b/>
          <w:bCs/>
        </w:rPr>
        <w:t xml:space="preserve">Ribić protiv Hrvatske (br. 27148/12, § 89.):</w:t>
      </w:r>
    </w:p>
    <w:p>
      <w:pPr>
        <w:pStyle w:val="BlockText"/>
      </w:pPr>
      <w:r>
        <w:rPr>
          <w:i/>
          <w:iCs/>
        </w:rPr>
        <w:t xml:space="preserve">„Neučinkovito, a posebice zakašnjelo vođenje postupka za određivanje susreta i druženja može dovesti do povrede pozitivne obveze na temelju članka 8. Konvencije jer postupovno kašnjenje može voditi do de facto odlučivanja o predmetnom pitanju.”</w:t>
      </w:r>
    </w:p>
    <w:bookmarkEnd w:id="33"/>
    <w:bookmarkStart w:id="34" w:name="c.-povreda"/>
    <w:p>
      <w:pPr>
        <w:pStyle w:val="Heading3"/>
      </w:pPr>
      <w:r>
        <w:t xml:space="preserve">C. Povreda</w:t>
      </w:r>
    </w:p>
    <w:p>
      <w:pPr>
        <w:pStyle w:val="FirstParagraph"/>
      </w:pPr>
      <w:r>
        <w:t xml:space="preserve">Nepostupanjem po prijedlozima za privremenu mjeru tijekom 27 mjeseci, uz suglasnost HZSR-a i posebne skrbnice za proširenje osobnih odnosa, sud je dopustio da protek vremena de facto odluči o pitanju osobnih odnosa. Time je povrijeđena pozitivna obveza države iz članka 8. Europske konvencije i članka 35. Ustava RH – pravo na poštivanje obiteljskog života.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vi.-zaključak-i-prijedlog"/>
    <w:p>
      <w:pPr>
        <w:pStyle w:val="Heading2"/>
      </w:pPr>
      <w:r>
        <w:t xml:space="preserve">VI. ZAKLJUČAK I PRIJEDLOG</w:t>
      </w:r>
    </w:p>
    <w:p>
      <w:pPr>
        <w:pStyle w:val="FirstParagraph"/>
      </w:pPr>
      <w:r>
        <w:t xml:space="preserve">Iz svega navedenog proizlazi da su nižestupanjski sudovi:</w:t>
      </w:r>
    </w:p>
    <w:p>
      <w:pPr>
        <w:pStyle w:val="Compact"/>
        <w:numPr>
          <w:ilvl w:val="0"/>
          <w:numId w:val="1002"/>
        </w:numPr>
      </w:pPr>
      <w:r>
        <w:t xml:space="preserve">Povrijedili članak 261. stavak 2. i 3. ZPP zamjenom mišljenja vještaka bez propisane procedure,</w:t>
      </w:r>
    </w:p>
    <w:p>
      <w:pPr>
        <w:pStyle w:val="Compact"/>
        <w:numPr>
          <w:ilvl w:val="0"/>
          <w:numId w:val="1002"/>
        </w:numPr>
      </w:pPr>
      <w:r>
        <w:t xml:space="preserve">Odstupili od ustaljene prakse Vrhovnog suda (Rev 1289/2022-3, Rev 127/2024-2) i Ustavnog suda (U-III/4080/2019),</w:t>
      </w:r>
    </w:p>
    <w:p>
      <w:pPr>
        <w:pStyle w:val="Compact"/>
        <w:numPr>
          <w:ilvl w:val="0"/>
          <w:numId w:val="1002"/>
        </w:numPr>
      </w:pPr>
      <w:r>
        <w:t xml:space="preserve">Propustili obrazložiti odstupanje od te prakse,</w:t>
      </w:r>
    </w:p>
    <w:p>
      <w:pPr>
        <w:pStyle w:val="Compact"/>
        <w:numPr>
          <w:ilvl w:val="0"/>
          <w:numId w:val="1002"/>
        </w:numPr>
      </w:pPr>
      <w:r>
        <w:t xml:space="preserve">Povrijedili pravo tužitelja na pravično suđenje (članak 29. Ustava RH, članak 6. EKLJP),</w:t>
      </w:r>
    </w:p>
    <w:p>
      <w:pPr>
        <w:pStyle w:val="Compact"/>
        <w:numPr>
          <w:ilvl w:val="0"/>
          <w:numId w:val="1002"/>
        </w:numPr>
      </w:pPr>
      <w:r>
        <w:t xml:space="preserve">Povrijedili pravo na poštivanje obiteljskog života nepostupanjem po prijedlozima za privremenu mjeru (članak 35. Ustava RH, članak 8. EKLJP).</w:t>
      </w:r>
    </w:p>
    <w:p>
      <w:pPr>
        <w:pStyle w:val="FirstParagraph"/>
      </w:pPr>
      <w:r>
        <w:t xml:space="preserve">Na temelju članka 385.a ZPP predlaže se:</w:t>
      </w:r>
    </w:p>
    <w:p>
      <w:pPr>
        <w:pStyle w:val="BodyText"/>
      </w:pPr>
      <w:r>
        <w:rPr>
          <w:b/>
          <w:bCs/>
        </w:rPr>
        <w:t xml:space="preserve">VRHOVNOM SUDU REPUBLIKE HRVATSKE</w:t>
      </w:r>
    </w:p>
    <w:p>
      <w:pPr>
        <w:pStyle w:val="BodyText"/>
      </w:pPr>
      <w:r>
        <w:rPr>
          <w:b/>
          <w:bCs/>
        </w:rPr>
        <w:t xml:space="preserve">dopustiti reviziju</w:t>
      </w:r>
      <w:r>
        <w:t xml:space="preserve"> </w:t>
      </w:r>
      <w:r>
        <w:t xml:space="preserve">protiv presude i rješenja Općinskog građanskog suda u Zagrebu poslovni broj P Ob-170/2022-134 od 30. lipnja 2025. i presude i rješenja Županijskog suda u Splitu poslovni broj Gž Ob-214/2025-3 od 16. listopada 2025.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 Zagrebu, 24. prosinca 2025.</w:t>
      </w:r>
    </w:p>
    <w:p>
      <w:pPr>
        <w:pStyle w:val="BodyText"/>
      </w:pPr>
      <w:r>
        <w:rPr>
          <w:b/>
          <w:bCs/>
        </w:rPr>
        <w:t xml:space="preserve">Tužitelj: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Ante Barišić</w:t>
      </w:r>
    </w:p>
    <w:p>
      <w:r>
        <w:pict>
          <v:rect style="width:0;height:1.5pt" o:hralign="center" o:hrstd="t" o:hr="t"/>
        </w:pict>
      </w:r>
    </w:p>
    <w:bookmarkEnd w:id="36"/>
    <w:bookmarkStart w:id="37" w:name="vii.-popis-priloga"/>
    <w:p>
      <w:pPr>
        <w:pStyle w:val="Heading2"/>
      </w:pPr>
      <w:r>
        <w:t xml:space="preserve">VII. POPIS PRILOGA</w:t>
      </w:r>
    </w:p>
    <w:p>
      <w:pPr>
        <w:pStyle w:val="Compact"/>
        <w:numPr>
          <w:ilvl w:val="0"/>
          <w:numId w:val="1003"/>
        </w:numPr>
      </w:pPr>
      <w:r>
        <w:t xml:space="preserve">Presuda i rješenje Općinskog građanskog suda u Zagrebu poslovni broj P Ob-170/2022-134 od 30. lipnja 2025.</w:t>
      </w:r>
    </w:p>
    <w:p>
      <w:pPr>
        <w:pStyle w:val="Compact"/>
        <w:numPr>
          <w:ilvl w:val="0"/>
          <w:numId w:val="1003"/>
        </w:numPr>
      </w:pPr>
      <w:r>
        <w:t xml:space="preserve">Presuda i rješenje Županijskog suda u Splitu poslovni broj Gž Ob-214/2025-3 od 16. listopada 2025.</w:t>
      </w:r>
    </w:p>
    <w:p>
      <w:pPr>
        <w:pStyle w:val="Compact"/>
        <w:numPr>
          <w:ilvl w:val="0"/>
          <w:numId w:val="1003"/>
        </w:numPr>
      </w:pPr>
      <w:r>
        <w:t xml:space="preserve">Žalba tužitelja protiv prvostupanjske presude</w:t>
      </w:r>
    </w:p>
    <w:p>
      <w:pPr>
        <w:pStyle w:val="Compact"/>
        <w:numPr>
          <w:ilvl w:val="0"/>
          <w:numId w:val="1003"/>
        </w:numPr>
      </w:pPr>
      <w:r>
        <w:t xml:space="preserve">Nalaz i mišljenje psihijatrijsko-psihologijskog vještačenja od 6. prosinca 2023.</w:t>
      </w:r>
    </w:p>
    <w:p>
      <w:pPr>
        <w:pStyle w:val="Compact"/>
        <w:numPr>
          <w:ilvl w:val="0"/>
          <w:numId w:val="1003"/>
        </w:numPr>
      </w:pPr>
      <w:r>
        <w:t xml:space="preserve">Podnesak posebne skrbnice od 21. prosinca 2023.</w:t>
      </w:r>
    </w:p>
    <w:p>
      <w:pPr>
        <w:pStyle w:val="Compact"/>
        <w:numPr>
          <w:ilvl w:val="0"/>
          <w:numId w:val="1003"/>
        </w:numPr>
      </w:pPr>
      <w:r>
        <w:t xml:space="preserve">Prijedlog i mišljenje HZSR od 6. ožujka 2023.</w:t>
      </w:r>
    </w:p>
    <w:p>
      <w:pPr>
        <w:pStyle w:val="Compact"/>
        <w:numPr>
          <w:ilvl w:val="0"/>
          <w:numId w:val="1003"/>
        </w:numPr>
      </w:pPr>
      <w:r>
        <w:t xml:space="preserve">Prijedlog i mišljenje HZSR od 29. lipnja 2022.</w:t>
      </w:r>
    </w:p>
    <w:p>
      <w:pPr>
        <w:pStyle w:val="Compact"/>
        <w:numPr>
          <w:ilvl w:val="0"/>
          <w:numId w:val="1003"/>
        </w:numPr>
      </w:pPr>
      <w:r>
        <w:t xml:space="preserve">Mišljenje HZSR od 21. lipnja 2024.</w:t>
      </w:r>
    </w:p>
    <w:p>
      <w:pPr>
        <w:pStyle w:val="Compact"/>
        <w:numPr>
          <w:ilvl w:val="0"/>
          <w:numId w:val="1003"/>
        </w:numPr>
      </w:pPr>
      <w:r>
        <w:t xml:space="preserve">Rješenje HZSR Klasa: 552-04/25-01/18, Urbroj: 139-114-10-10-25-7 od 28. studenoga 2025.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2025-12-24T10:25:27Z</dcterms:created>
  <dcterms:modified xsi:type="dcterms:W3CDTF">2025-12-24T10:25:27Z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