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7850" w14:textId="77777777" w:rsidR="000B107E" w:rsidRDefault="000B107E" w:rsidP="000B107E">
      <w:pPr>
        <w:ind w:left="708" w:hanging="708"/>
      </w:pPr>
      <w:r>
        <w:rPr>
          <w:rFonts w:ascii="Times New Roman" w:hAnsi="Times New Roman" w:cs="Times New Roman"/>
          <w:noProof/>
        </w:rPr>
        <w:drawing>
          <wp:anchor distT="0" distB="0" distL="114300" distR="114300" simplePos="0" relativeHeight="251658242" behindDoc="1" locked="0" layoutInCell="1" allowOverlap="1" wp14:anchorId="15F7E650" wp14:editId="624B53AB">
            <wp:simplePos x="0" y="0"/>
            <wp:positionH relativeFrom="column">
              <wp:posOffset>5234940</wp:posOffset>
            </wp:positionH>
            <wp:positionV relativeFrom="page">
              <wp:posOffset>228600</wp:posOffset>
            </wp:positionV>
            <wp:extent cx="1171575" cy="1125531"/>
            <wp:effectExtent l="0" t="0" r="0" b="0"/>
            <wp:wrapNone/>
            <wp:docPr id="2137884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4838" name="Imagen 2137884838"/>
                    <pic:cNvPicPr/>
                  </pic:nvPicPr>
                  <pic:blipFill>
                    <a:blip r:embed="rId10">
                      <a:extLst>
                        <a:ext uri="{28A0092B-C50C-407E-A947-70E740481C1C}">
                          <a14:useLocalDpi xmlns:a14="http://schemas.microsoft.com/office/drawing/2010/main" val="0"/>
                        </a:ext>
                      </a:extLst>
                    </a:blip>
                    <a:stretch>
                      <a:fillRect/>
                    </a:stretch>
                  </pic:blipFill>
                  <pic:spPr>
                    <a:xfrm>
                      <a:off x="0" y="0"/>
                      <a:ext cx="1171575" cy="1125531"/>
                    </a:xfrm>
                    <a:prstGeom prst="rect">
                      <a:avLst/>
                    </a:prstGeom>
                  </pic:spPr>
                </pic:pic>
              </a:graphicData>
            </a:graphic>
            <wp14:sizeRelH relativeFrom="margin">
              <wp14:pctWidth>0</wp14:pctWidth>
            </wp14:sizeRelH>
            <wp14:sizeRelV relativeFrom="margin">
              <wp14:pctHeight>0</wp14:pctHeight>
            </wp14:sizeRelV>
          </wp:anchor>
        </w:drawing>
      </w:r>
    </w:p>
    <w:p w14:paraId="6EC08A8C" w14:textId="77777777" w:rsidR="000B107E" w:rsidRDefault="000B107E" w:rsidP="000B107E"/>
    <w:p w14:paraId="6B9015DE" w14:textId="77777777" w:rsidR="000B107E" w:rsidRDefault="000B107E" w:rsidP="000B107E"/>
    <w:p w14:paraId="11A3CCFA" w14:textId="77777777" w:rsidR="000B107E" w:rsidRDefault="000B107E" w:rsidP="000B107E"/>
    <w:p w14:paraId="53FB58E1" w14:textId="77777777" w:rsidR="000B107E" w:rsidRDefault="000B107E" w:rsidP="000B107E"/>
    <w:p w14:paraId="6C8D8335" w14:textId="77777777" w:rsidR="000B107E" w:rsidRDefault="000B107E" w:rsidP="000B107E"/>
    <w:p w14:paraId="0BEF6F6F" w14:textId="77777777" w:rsidR="000B107E" w:rsidRDefault="000B107E" w:rsidP="000B107E"/>
    <w:p w14:paraId="7B92AD71" w14:textId="77777777" w:rsidR="000B107E" w:rsidRDefault="000B107E" w:rsidP="000B107E"/>
    <w:p w14:paraId="4514CA20" w14:textId="77777777" w:rsidR="000B107E" w:rsidRDefault="000B107E" w:rsidP="000B107E">
      <w:r>
        <w:rPr>
          <w:noProof/>
        </w:rPr>
        <mc:AlternateContent>
          <mc:Choice Requires="wps">
            <w:drawing>
              <wp:anchor distT="0" distB="0" distL="114300" distR="114300" simplePos="0" relativeHeight="251658240" behindDoc="0" locked="0" layoutInCell="1" allowOverlap="1" wp14:anchorId="7ED5A155" wp14:editId="64A0C2A0">
                <wp:simplePos x="0" y="0"/>
                <wp:positionH relativeFrom="margin">
                  <wp:posOffset>-26670</wp:posOffset>
                </wp:positionH>
                <wp:positionV relativeFrom="page">
                  <wp:posOffset>3694430</wp:posOffset>
                </wp:positionV>
                <wp:extent cx="5619750" cy="0"/>
                <wp:effectExtent l="0" t="0" r="0" b="0"/>
                <wp:wrapNone/>
                <wp:docPr id="978433633" name="Straight Connector 3"/>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FA58F"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1pt,290.9pt" to="440.4pt,290.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V0//mwEAAIgDAAAOAAAAZHJzL2Uyb0RvYy54bWysU01P4zAQvSPxHyzfaZJKwBI15QBaLmgX 7ccPMM64sdb2WLZp0n/P2G1TtCAOq704/njvzbyZyep2soZtIUSNruPNouYMnMReu03Hf//6evGF s5iE64VBBx3fQeS36/Oz1ehbWOKApofASMTFdvQdH1LybVVFOYAVcYEeHD0qDFYkOoZN1Qcxkro1 1bKur6oRQ+8DSoiRbu/3j3xd9JUCmb4rFSEx03HKLZU1lPU5r9V6JdpNEH7Q8pCG+IcsrNCOgs5S 9yIJ9hL0OymrZcCIKi0k2gqV0hKKB3LT1H+5+TkID8ULFSf6uUzx/8nKb9s79xSoDKOPbfRPIbuY VLD5S/mxqRRrNxcLpsQkXV5eNTfXl1RTeXyrTkQfYnoAtCxvOm60yz5EK7aPMVEwgh4hdDiFLru0 M5DBxv0AxXRPwZaFXaYC7kxgW0H97P80uX+kVZCZorQxM6n+nHTAZhqUSZmJzefEGV0ioksz0WqH 4SNymo6pqj3+6HrvNdt+xn5XGlHKQe0uzg6jmefp7bnQTz/Q+hUAAP//AwBQSwMEFAAGAAgAAAAh ANHHxtjcAAAACgEAAA8AAABkcnMvZG93bnJldi54bWxMj81OwzAQhO9IvIO1SFxQa7f8NApxqgip D0DLgaMbL3FUex1iNw1vzyIhwW13ZzT7TbWdgxcTjqmPpGG1VCCQ2mh76jS8HXaLAkTKhqzxkVDD FybY1tdXlSltvNArTvvcCQ6hVBoNLuehlDK1DoNJyzggsfYRx2Ayr2Mn7WguHB68XCv1JIPpiT84 M+CLw/a0PwcNh/cNWnfnm8l8Npa6+1O/2yitb2/m5hlExjn/meEHn9GhZqZjPJNNwmtYPKzZqeGx WHEFNhSF4uH4e5F1Jf9XqL8BAAD//wMAUEsBAi0AFAAGAAgAAAAhALaDOJL+AAAA4QEAABMAAAAA AAAAAAAAAAAAAAAAAFtDb250ZW50X1R5cGVzXS54bWxQSwECLQAUAAYACAAAACEAOP0h/9YAAACU AQAACwAAAAAAAAAAAAAAAAAvAQAAX3JlbHMvLnJlbHNQSwECLQAUAAYACAAAACEAO1dP/5sBAACI AwAADgAAAAAAAAAAAAAAAAAuAgAAZHJzL2Uyb0RvYy54bWxQSwECLQAUAAYACAAAACEA0cfG2NwA AAAKAQAADwAAAAAAAAAAAAAAAAD1AwAAZHJzL2Rvd25yZXYueG1sUEsFBgAAAAAEAAQA8wAAAP4E AAAAAA== " strokecolor="black [3200]" strokeweight="1pt">
                <v:stroke joinstyle="miter"/>
                <w10:wrap anchorx="margin" anchory="page"/>
              </v:line>
            </w:pict>
          </mc:Fallback>
        </mc:AlternateContent>
      </w:r>
    </w:p>
    <w:p w14:paraId="499B140D" w14:textId="77777777" w:rsidR="000B107E" w:rsidRDefault="000B107E" w:rsidP="000B107E">
      <w:pPr>
        <w:jc w:val="center"/>
        <w:rPr>
          <w:rFonts w:ascii="Times New Roman" w:hAnsi="Times New Roman" w:cs="Times New Roman"/>
          <w:sz w:val="44"/>
          <w:szCs w:val="44"/>
        </w:rPr>
      </w:pPr>
      <w:r>
        <w:rPr>
          <w:rFonts w:ascii="Times New Roman" w:hAnsi="Times New Roman" w:cs="Times New Roman"/>
          <w:sz w:val="44"/>
          <w:szCs w:val="44"/>
        </w:rPr>
        <w:t>LABORATORIO 2</w:t>
      </w:r>
    </w:p>
    <w:p w14:paraId="5D5D1C2D" w14:textId="14EDFA48" w:rsidR="000B107E" w:rsidRDefault="000B107E" w:rsidP="000B107E">
      <w:pPr>
        <w:jc w:val="center"/>
        <w:rPr>
          <w:rFonts w:ascii="Times New Roman" w:hAnsi="Times New Roman" w:cs="Times New Roman"/>
          <w:sz w:val="36"/>
          <w:szCs w:val="36"/>
        </w:rPr>
      </w:pPr>
      <w:r>
        <w:rPr>
          <w:noProof/>
        </w:rPr>
        <mc:AlternateContent>
          <mc:Choice Requires="wps">
            <w:drawing>
              <wp:anchor distT="0" distB="0" distL="114300" distR="114300" simplePos="0" relativeHeight="251658241" behindDoc="0" locked="0" layoutInCell="1" allowOverlap="1" wp14:anchorId="304F9D8D" wp14:editId="5D0FFD53">
                <wp:simplePos x="0" y="0"/>
                <wp:positionH relativeFrom="margin">
                  <wp:posOffset>-7620</wp:posOffset>
                </wp:positionH>
                <wp:positionV relativeFrom="page">
                  <wp:posOffset>4565650</wp:posOffset>
                </wp:positionV>
                <wp:extent cx="5619750" cy="0"/>
                <wp:effectExtent l="0" t="0" r="0" b="0"/>
                <wp:wrapNone/>
                <wp:docPr id="1009861926" name="Straight Connector 3"/>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15F76" id="Straight Connector 3"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6pt,359.5pt" to="441.9pt,35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V0//mwEAAIgDAAAOAAAAZHJzL2Uyb0RvYy54bWysU01P4zAQvSPxHyzfaZJKwBI15QBaLmgX 7ccPMM64sdb2WLZp0n/P2G1TtCAOq704/njvzbyZyep2soZtIUSNruPNouYMnMReu03Hf//6evGF s5iE64VBBx3fQeS36/Oz1ehbWOKApofASMTFdvQdH1LybVVFOYAVcYEeHD0qDFYkOoZN1Qcxkro1 1bKur6oRQ+8DSoiRbu/3j3xd9JUCmb4rFSEx03HKLZU1lPU5r9V6JdpNEH7Q8pCG+IcsrNCOgs5S 9yIJ9hL0OymrZcCIKi0k2gqV0hKKB3LT1H+5+TkID8ULFSf6uUzx/8nKb9s79xSoDKOPbfRPIbuY VLD5S/mxqRRrNxcLpsQkXV5eNTfXl1RTeXyrTkQfYnoAtCxvOm60yz5EK7aPMVEwgh4hdDiFLru0 M5DBxv0AxXRPwZaFXaYC7kxgW0H97P80uX+kVZCZorQxM6n+nHTAZhqUSZmJzefEGV0ioksz0WqH 4SNymo6pqj3+6HrvNdt+xn5XGlHKQe0uzg6jmefp7bnQTz/Q+hUAAP//AwBQSwMEFAAGAAgAAAAh AFctTdPbAAAACgEAAA8AAABkcnMvZG93bnJldi54bWxMj8FOwzAMhu9IvENkJC5oS7tJtJSmU4W0 B2DjwDFrTFMtcUqTdeXtMRISHG1/+v399W7xTsw4xSGQgnydgUDqghmoV/B23K9KEDFpMtoFQgVf GGHX3N7UujLhSq84H1IvOIRipRXYlMZKythZ9Dquw4jEt48weZ14nHppJn3lcO/kJssepdcD8Qer R3yx2J0PF6/g+F6gsQ+unfVna6jfnod9kSl1f7e0zyASLukPhh99VoeGnU7hQiYKp2CVb5hUUORP 3ImBstxyl9PvRja1/F+h+QYAAP//AwBQSwECLQAUAAYACAAAACEAtoM4kv4AAADhAQAAEwAAAAAA AAAAAAAAAAAAAAAAW0NvbnRlbnRfVHlwZXNdLnhtbFBLAQItABQABgAIAAAAIQA4/SH/1gAAAJQB AAALAAAAAAAAAAAAAAAAAC8BAABfcmVscy8ucmVsc1BLAQItABQABgAIAAAAIQA7V0//mwEAAIgD AAAOAAAAAAAAAAAAAAAAAC4CAABkcnMvZTJvRG9jLnhtbFBLAQItABQABgAIAAAAIQBXLU3T2wAA AAoBAAAPAAAAAAAAAAAAAAAAAPUDAABkcnMvZG93bnJldi54bWxQSwUGAAAAAAQABADzAAAA/QQA AAAA " strokecolor="black [3200]" strokeweight="1pt">
                <v:stroke joinstyle="miter"/>
                <w10:wrap anchorx="margin" anchory="page"/>
              </v:line>
            </w:pict>
          </mc:Fallback>
        </mc:AlternateContent>
      </w:r>
      <w:r>
        <w:rPr>
          <w:rFonts w:ascii="Times New Roman" w:hAnsi="Times New Roman" w:cs="Times New Roman"/>
          <w:sz w:val="36"/>
          <w:szCs w:val="36"/>
        </w:rPr>
        <w:t>SISTEMAS DE INFORMACIÓN PARA LA GEST</w:t>
      </w:r>
      <w:r w:rsidR="003D6A67">
        <w:rPr>
          <w:rFonts w:ascii="Times New Roman" w:hAnsi="Times New Roman" w:cs="Times New Roman"/>
          <w:sz w:val="36"/>
          <w:szCs w:val="36"/>
        </w:rPr>
        <w:t>IÓ</w:t>
      </w:r>
      <w:r>
        <w:rPr>
          <w:rFonts w:ascii="Times New Roman" w:hAnsi="Times New Roman" w:cs="Times New Roman"/>
          <w:sz w:val="36"/>
          <w:szCs w:val="36"/>
        </w:rPr>
        <w:t>N</w:t>
      </w:r>
    </w:p>
    <w:p w14:paraId="580EC1F0" w14:textId="77777777" w:rsidR="000B107E" w:rsidRPr="006F62EC" w:rsidRDefault="000B107E" w:rsidP="000B107E">
      <w:pPr>
        <w:jc w:val="center"/>
        <w:rPr>
          <w:rFonts w:ascii="Times New Roman" w:hAnsi="Times New Roman" w:cs="Times New Roman"/>
          <w:sz w:val="36"/>
          <w:szCs w:val="36"/>
        </w:rPr>
      </w:pPr>
    </w:p>
    <w:p w14:paraId="4932FAFD" w14:textId="77777777" w:rsidR="000B107E" w:rsidRPr="003E515C" w:rsidRDefault="000B107E" w:rsidP="000B107E">
      <w:pPr>
        <w:spacing w:line="192" w:lineRule="auto"/>
        <w:jc w:val="center"/>
        <w:rPr>
          <w:rFonts w:ascii="Times New Roman" w:hAnsi="Times New Roman" w:cs="Times New Roman"/>
          <w:b/>
          <w:bCs/>
        </w:rPr>
      </w:pPr>
      <w:r>
        <w:rPr>
          <w:rFonts w:ascii="Times New Roman" w:hAnsi="Times New Roman" w:cs="Times New Roman"/>
          <w:b/>
          <w:bCs/>
        </w:rPr>
        <w:t>Agustin Barnils</w:t>
      </w:r>
    </w:p>
    <w:p w14:paraId="43D39DD7" w14:textId="10A5B25B" w:rsidR="000B107E" w:rsidRPr="003E515C" w:rsidRDefault="000B107E" w:rsidP="000B107E">
      <w:pPr>
        <w:spacing w:line="192" w:lineRule="auto"/>
        <w:jc w:val="center"/>
        <w:rPr>
          <w:rFonts w:ascii="Times New Roman" w:hAnsi="Times New Roman" w:cs="Times New Roman"/>
        </w:rPr>
      </w:pPr>
      <w:r>
        <w:rPr>
          <w:rFonts w:ascii="Times New Roman" w:hAnsi="Times New Roman" w:cs="Times New Roman"/>
        </w:rPr>
        <w:t xml:space="preserve">Ingeniería Civil Industrial, 202360650-2, </w:t>
      </w:r>
      <w:hyperlink r:id="rId11" w:history="1">
        <w:r w:rsidR="005E76B5" w:rsidRPr="00CA083F">
          <w:rPr>
            <w:rStyle w:val="Hipervnculo"/>
            <w:rFonts w:ascii="Times New Roman" w:hAnsi="Times New Roman" w:cs="Times New Roman"/>
            <w:i/>
            <w:iCs/>
          </w:rPr>
          <w:t>abarnils@usm.cl</w:t>
        </w:r>
      </w:hyperlink>
      <w:r w:rsidR="005E76B5">
        <w:rPr>
          <w:rFonts w:ascii="Times New Roman" w:hAnsi="Times New Roman" w:cs="Times New Roman"/>
          <w:i/>
          <w:iCs/>
        </w:rPr>
        <w:t>, Paralelo 100</w:t>
      </w:r>
    </w:p>
    <w:p w14:paraId="285B2A75" w14:textId="77777777" w:rsidR="000B107E" w:rsidRPr="003E515C" w:rsidRDefault="000B107E" w:rsidP="000B107E">
      <w:pPr>
        <w:spacing w:line="192" w:lineRule="auto"/>
        <w:jc w:val="center"/>
        <w:rPr>
          <w:rFonts w:ascii="Times New Roman" w:hAnsi="Times New Roman" w:cs="Times New Roman"/>
        </w:rPr>
      </w:pPr>
    </w:p>
    <w:p w14:paraId="4C788CD1" w14:textId="77777777" w:rsidR="000B107E" w:rsidRDefault="000B107E" w:rsidP="000B107E">
      <w:pPr>
        <w:jc w:val="center"/>
        <w:rPr>
          <w:rFonts w:ascii="Times New Roman" w:hAnsi="Times New Roman" w:cs="Times New Roman"/>
          <w:b/>
          <w:bCs/>
        </w:rPr>
      </w:pPr>
    </w:p>
    <w:p w14:paraId="47BEFE40" w14:textId="77777777" w:rsidR="000B107E" w:rsidRDefault="000B107E" w:rsidP="000B107E">
      <w:pPr>
        <w:rPr>
          <w:rFonts w:ascii="Times New Roman" w:hAnsi="Times New Roman" w:cs="Times New Roman"/>
          <w:b/>
          <w:bCs/>
        </w:rPr>
      </w:pPr>
    </w:p>
    <w:p w14:paraId="052CAC4E" w14:textId="77777777" w:rsidR="000B107E" w:rsidRDefault="000B107E" w:rsidP="000B107E">
      <w:pPr>
        <w:jc w:val="center"/>
        <w:rPr>
          <w:rFonts w:ascii="Times New Roman" w:hAnsi="Times New Roman" w:cs="Times New Roman"/>
          <w:b/>
          <w:bCs/>
        </w:rPr>
      </w:pPr>
    </w:p>
    <w:p w14:paraId="1DDAD1A7" w14:textId="77777777" w:rsidR="000B107E" w:rsidRDefault="000B107E" w:rsidP="000B107E">
      <w:pPr>
        <w:jc w:val="center"/>
        <w:rPr>
          <w:rFonts w:ascii="Times New Roman" w:hAnsi="Times New Roman" w:cs="Times New Roman"/>
          <w:b/>
          <w:bCs/>
        </w:rPr>
      </w:pPr>
    </w:p>
    <w:p w14:paraId="6EA9B8AD" w14:textId="77777777" w:rsidR="000B107E" w:rsidRDefault="000B107E" w:rsidP="000B107E">
      <w:pPr>
        <w:jc w:val="center"/>
        <w:rPr>
          <w:rFonts w:ascii="Times New Roman" w:hAnsi="Times New Roman" w:cs="Times New Roman"/>
          <w:b/>
          <w:bCs/>
        </w:rPr>
      </w:pPr>
    </w:p>
    <w:p w14:paraId="001EA9DB" w14:textId="77777777" w:rsidR="000B107E" w:rsidRDefault="000B107E" w:rsidP="000B107E">
      <w:pPr>
        <w:jc w:val="center"/>
        <w:rPr>
          <w:rFonts w:ascii="Times New Roman" w:hAnsi="Times New Roman" w:cs="Times New Roman"/>
          <w:b/>
          <w:bCs/>
        </w:rPr>
      </w:pPr>
    </w:p>
    <w:p w14:paraId="3366E457" w14:textId="77777777" w:rsidR="000B107E" w:rsidRPr="003E515C" w:rsidRDefault="000B107E" w:rsidP="000B107E">
      <w:pPr>
        <w:rPr>
          <w:rFonts w:ascii="Times New Roman" w:hAnsi="Times New Roman" w:cs="Times New Roman"/>
        </w:rPr>
      </w:pPr>
    </w:p>
    <w:p w14:paraId="0D52B6C6" w14:textId="77777777" w:rsidR="000B107E" w:rsidRPr="003E515C" w:rsidRDefault="000B107E" w:rsidP="000B107E">
      <w:pPr>
        <w:jc w:val="center"/>
        <w:rPr>
          <w:rFonts w:ascii="Times New Roman" w:hAnsi="Times New Roman" w:cs="Times New Roman"/>
        </w:rPr>
      </w:pPr>
      <w:r>
        <w:rPr>
          <w:rFonts w:ascii="Times New Roman" w:hAnsi="Times New Roman" w:cs="Times New Roman"/>
        </w:rPr>
        <w:t>Prof. José Miguel González Paul</w:t>
      </w:r>
    </w:p>
    <w:p w14:paraId="393A91A3" w14:textId="77777777" w:rsidR="000B107E" w:rsidRPr="003E515C" w:rsidRDefault="000B107E" w:rsidP="000B107E">
      <w:pPr>
        <w:rPr>
          <w:rFonts w:ascii="Times New Roman" w:hAnsi="Times New Roman" w:cs="Times New Roman"/>
        </w:rPr>
      </w:pPr>
    </w:p>
    <w:p w14:paraId="16F1ED8A" w14:textId="77777777" w:rsidR="000B107E" w:rsidRPr="003E515C" w:rsidRDefault="000B107E" w:rsidP="000B107E">
      <w:pPr>
        <w:jc w:val="center"/>
        <w:rPr>
          <w:rFonts w:ascii="Times New Roman" w:hAnsi="Times New Roman" w:cs="Times New Roman"/>
          <w:sz w:val="28"/>
          <w:szCs w:val="28"/>
        </w:rPr>
      </w:pPr>
      <w:r>
        <w:rPr>
          <w:rFonts w:ascii="Times New Roman" w:hAnsi="Times New Roman" w:cs="Times New Roman"/>
          <w:sz w:val="28"/>
          <w:szCs w:val="28"/>
        </w:rPr>
        <w:t>SEPTIEMBRE, 2026</w:t>
      </w:r>
    </w:p>
    <w:p w14:paraId="5A327A02" w14:textId="77777777" w:rsidR="000B107E" w:rsidRDefault="000B107E" w:rsidP="000B107E">
      <w:pPr>
        <w:jc w:val="center"/>
        <w:rPr>
          <w:rFonts w:ascii="Times New Roman" w:hAnsi="Times New Roman" w:cs="Times New Roman"/>
          <w:sz w:val="28"/>
          <w:szCs w:val="28"/>
        </w:rPr>
      </w:pPr>
      <w:r>
        <w:rPr>
          <w:rFonts w:ascii="Times New Roman" w:hAnsi="Times New Roman" w:cs="Times New Roman"/>
          <w:sz w:val="28"/>
          <w:szCs w:val="28"/>
        </w:rPr>
        <w:t>Campus Vitacura</w:t>
      </w:r>
    </w:p>
    <w:p w14:paraId="5D7F8560" w14:textId="77777777" w:rsidR="008F68DF" w:rsidRDefault="000B107E" w:rsidP="000B107E">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RESUMEN EJECUTIVO</w:t>
      </w:r>
    </w:p>
    <w:p w14:paraId="002CAE3D" w14:textId="77777777" w:rsidR="000E194A" w:rsidRDefault="00000000">
      <w:pPr>
        <w:spacing w:line="360" w:lineRule="auto"/>
        <w:jc w:val="both"/>
        <w:rPr>
          <w:rFonts w:ascii="Times New Roman" w:hAnsi="Times New Roman" w:cs="Times New Roman"/>
        </w:rPr>
      </w:pPr>
      <w:r>
        <w:rPr>
          <w:rFonts w:ascii="Times New Roman" w:hAnsi="Times New Roman" w:cs="Times New Roman"/>
        </w:rPr>
        <w:t>En este laboratorio se modeló y rediseñó el proceso de solicitud de reembolso de AndesHogar SpA, empresa ficticia dedicada a la venta de electrodomésticos y muebles a través de tres tiendas físicas y un canal en línea. A partir de la semilla S = 205, obtenida de los tres últimos dígitos del RUT del estudiante, se fijaron los parámetros del caso: U = $55.000, D = 15 días corridos, d = 15%, V = 215 solicitudes mensuales y disponibilidad de retiro en tienda.</w:t>
      </w:r>
    </w:p>
    <w:p w14:paraId="4D24FF06" w14:textId="77777777" w:rsidR="000E194A" w:rsidRDefault="00000000">
      <w:pPr>
        <w:spacing w:line="360" w:lineRule="auto"/>
        <w:jc w:val="both"/>
        <w:rPr>
          <w:rFonts w:ascii="Times New Roman" w:hAnsi="Times New Roman" w:cs="Times New Roman"/>
        </w:rPr>
      </w:pPr>
      <w:r>
        <w:rPr>
          <w:rFonts w:ascii="Times New Roman" w:hAnsi="Times New Roman" w:cs="Times New Roman"/>
        </w:rPr>
        <w:t>El proceso actual (AS-IS) se levantó a partir de cuatro entrevistas parciales y contradictorias entre sí, lo que obligó a declarar cinco supuestos explícitos. Su diagnóstico se cuantificó mediante un árbol de 26 trazas ponderadas por probabilidad, obteniendo un tiempo de ciclo promedio de 202,5 horas (8,44 días), un índice de eficiencia del ciclo de 0,75% y un costo de $14.301 por solicitud, equivalente a $3.074.768 mensuales. Los tres problemas identificados fueron el control redundante del supervisor ($272.432 al mes), el loteo de revisiones en dos tandas diarias (891,6 horas de ciclo al mes) y el traspaso manual entre tres sistemas desconectados, con un 9% de reproceso ($267.702 al mes).</w:t>
      </w:r>
    </w:p>
    <w:p w14:paraId="1F58711C" w14:textId="77777777" w:rsidR="000E194A" w:rsidRDefault="00000000">
      <w:pPr>
        <w:spacing w:line="360" w:lineRule="auto"/>
        <w:jc w:val="both"/>
        <w:rPr>
          <w:rFonts w:ascii="Times New Roman" w:hAnsi="Times New Roman" w:cs="Times New Roman"/>
        </w:rPr>
      </w:pPr>
      <w:r>
        <w:rPr>
          <w:rFonts w:ascii="Times New Roman" w:hAnsi="Times New Roman" w:cs="Times New Roman"/>
        </w:rPr>
        <w:t>Sobre ese diagnóstico se propusieron cinco cambios: eliminar la revisión del supervisor, integrar los registros en un sistema unificado, emitir los reembolsos en lote diario, digitalizar la ficha de bodega y exigir la fotografía del producto en el formulario web; tres corresponden a reingeniería, uno a mejora continua y uno a automatización superficial. En conjunto reducen el ciclo a 107,1 horas (una caída de 47,1%) y el costo mensual a $2.448.455, con un ahorro de $626.313. La mejora proviene principalmente de eliminar esperas y no de ahorrar horas-persona, lo que confirma que el problema no es cuánto trabaja el personal sino cuánto tiempo permanece cada caso detenido.</w:t>
      </w:r>
    </w:p>
    <w:p w14:paraId="1EF7FE90" w14:textId="77777777" w:rsidR="000E194A" w:rsidRDefault="00000000">
      <w:pPr>
        <w:spacing w:line="360" w:lineRule="auto"/>
        <w:jc w:val="both"/>
        <w:rPr>
          <w:rFonts w:ascii="Times New Roman" w:hAnsi="Times New Roman" w:cs="Times New Roman"/>
        </w:rPr>
      </w:pPr>
      <w:r>
        <w:rPr>
          <w:rFonts w:ascii="Times New Roman" w:hAnsi="Times New Roman" w:cs="Times New Roman"/>
        </w:rPr>
        <w:t>Para gobernar el proceso rediseñado se definieron tres indicadores: tiempo de ciclo promedio (meta bajo 110 horas), tasa de casos resueltos sin corrección (meta sobre 98%) y cumplimiento de la promesa de reembolso dentro de ocho días (meta sobre 90%). Por último, se propuso automatizar primero el subproceso de admisión de la solicitud, por ejecutarse sobre el 100% del volumen, tener una regla escrita y determinista y concentrar el mayor impacto del proceso rediseñado (71,7 horas-persona y $465.833 mensuales).</w:t>
      </w:r>
    </w:p>
    <w:p w14:paraId="7A3C63D2" w14:textId="77777777" w:rsidR="00A95568" w:rsidRDefault="00A95568" w:rsidP="00061D20">
      <w:pPr>
        <w:spacing w:line="360" w:lineRule="auto"/>
        <w:jc w:val="both"/>
        <w:rPr>
          <w:rFonts w:ascii="Times New Roman" w:hAnsi="Times New Roman" w:cs="Times New Roman"/>
        </w:rPr>
      </w:pPr>
    </w:p>
    <w:p w14:paraId="79CE7914" w14:textId="77777777" w:rsidR="00A95568" w:rsidRDefault="00472F94" w:rsidP="004A3A4C">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TABLA DE SUPUESTOS</w:t>
      </w:r>
    </w:p>
    <w:tbl>
      <w:tblPr>
        <w:tblW w:w="0" w:type="auto"/>
        <w:tblCellMar>
          <w:left w:w="70" w:type="dxa"/>
          <w:right w:w="70" w:type="dxa"/>
        </w:tblCellMar>
        <w:tblLook w:val="04A0" w:firstRow="1" w:lastRow="0" w:firstColumn="1" w:lastColumn="0" w:noHBand="0" w:noVBand="1"/>
      </w:tblPr>
      <w:tblGrid>
        <w:gridCol w:w="2920"/>
        <w:gridCol w:w="2769"/>
        <w:gridCol w:w="3129"/>
      </w:tblGrid>
      <w:tr w:rsidR="00EF3343" w:rsidRPr="00EF3343" w14:paraId="61777B64" w14:textId="77777777" w:rsidTr="00EF3343">
        <w:trPr>
          <w:trHeight w:val="174"/>
        </w:trPr>
        <w:tc>
          <w:tcPr>
            <w:tcW w:w="0" w:type="auto"/>
            <w:tcBorders>
              <w:top w:val="single" w:sz="8" w:space="0" w:color="auto"/>
              <w:left w:val="single" w:sz="8" w:space="0" w:color="auto"/>
              <w:bottom w:val="single" w:sz="4" w:space="0" w:color="auto"/>
              <w:right w:val="single" w:sz="4" w:space="0" w:color="auto"/>
            </w:tcBorders>
            <w:vAlign w:val="center"/>
            <w:hideMark/>
          </w:tcPr>
          <w:p w14:paraId="0107F5F8" w14:textId="77777777" w:rsidR="00EF3343" w:rsidRPr="00EF3343" w:rsidRDefault="00EF3343" w:rsidP="00EF33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Vacío o contradicción</w:t>
            </w:r>
          </w:p>
        </w:tc>
        <w:tc>
          <w:tcPr>
            <w:tcW w:w="0" w:type="auto"/>
            <w:tcBorders>
              <w:top w:val="single" w:sz="8" w:space="0" w:color="auto"/>
              <w:left w:val="nil"/>
              <w:bottom w:val="single" w:sz="4" w:space="0" w:color="auto"/>
              <w:right w:val="single" w:sz="4" w:space="0" w:color="auto"/>
            </w:tcBorders>
            <w:vAlign w:val="center"/>
            <w:hideMark/>
          </w:tcPr>
          <w:p w14:paraId="2973EEC1" w14:textId="77777777" w:rsidR="00EF3343" w:rsidRPr="00EF3343" w:rsidRDefault="00EF3343" w:rsidP="00EF33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Supuesto adoptado</w:t>
            </w:r>
          </w:p>
        </w:tc>
        <w:tc>
          <w:tcPr>
            <w:tcW w:w="0" w:type="auto"/>
            <w:tcBorders>
              <w:top w:val="single" w:sz="8" w:space="0" w:color="auto"/>
              <w:left w:val="nil"/>
              <w:bottom w:val="single" w:sz="4" w:space="0" w:color="auto"/>
              <w:right w:val="single" w:sz="8" w:space="0" w:color="auto"/>
            </w:tcBorders>
            <w:vAlign w:val="center"/>
            <w:hideMark/>
          </w:tcPr>
          <w:p w14:paraId="5F9B3CC7" w14:textId="77777777" w:rsidR="00EF3343" w:rsidRPr="00EF3343" w:rsidRDefault="00EF3343" w:rsidP="00EF33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Que cambiaría sino</w:t>
            </w:r>
          </w:p>
        </w:tc>
      </w:tr>
      <w:tr w:rsidR="00EF3343" w:rsidRPr="00EF3343" w14:paraId="6B6DD11B" w14:textId="77777777" w:rsidTr="00EF3343">
        <w:trPr>
          <w:trHeight w:val="1399"/>
        </w:trPr>
        <w:tc>
          <w:tcPr>
            <w:tcW w:w="0" w:type="auto"/>
            <w:tcBorders>
              <w:top w:val="nil"/>
              <w:left w:val="single" w:sz="8" w:space="0" w:color="auto"/>
              <w:bottom w:val="single" w:sz="4" w:space="0" w:color="auto"/>
              <w:right w:val="single" w:sz="4" w:space="0" w:color="auto"/>
            </w:tcBorders>
            <w:vAlign w:val="center"/>
            <w:hideMark/>
          </w:tcPr>
          <w:p w14:paraId="3FC58C6F"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Nadie dice qué pasa si el cliente no envía las fotos solicitadas.</w:t>
            </w:r>
          </w:p>
        </w:tc>
        <w:tc>
          <w:tcPr>
            <w:tcW w:w="0" w:type="auto"/>
            <w:tcBorders>
              <w:top w:val="nil"/>
              <w:left w:val="nil"/>
              <w:bottom w:val="single" w:sz="4" w:space="0" w:color="auto"/>
              <w:right w:val="single" w:sz="4" w:space="0" w:color="auto"/>
            </w:tcBorders>
            <w:vAlign w:val="center"/>
            <w:hideMark/>
          </w:tcPr>
          <w:p w14:paraId="18A967C0"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El cliente siempre responde dentro de las 48h modeladas; no existe un camino de abandono en el AS-IS.</w:t>
            </w:r>
          </w:p>
        </w:tc>
        <w:tc>
          <w:tcPr>
            <w:tcW w:w="0" w:type="auto"/>
            <w:tcBorders>
              <w:top w:val="nil"/>
              <w:left w:val="nil"/>
              <w:bottom w:val="single" w:sz="4" w:space="0" w:color="auto"/>
              <w:right w:val="single" w:sz="8" w:space="0" w:color="auto"/>
            </w:tcBorders>
            <w:vAlign w:val="center"/>
            <w:hideMark/>
          </w:tcPr>
          <w:p w14:paraId="35FDFA08"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Habría que agregar un evento de tiempo sobre "Camila le pide foto del producto" que active un cuarto camino de término por abandono.</w:t>
            </w:r>
          </w:p>
        </w:tc>
      </w:tr>
      <w:tr w:rsidR="00EF3343" w:rsidRPr="00EF3343" w14:paraId="72AFC458" w14:textId="77777777" w:rsidTr="00EF3343">
        <w:trPr>
          <w:trHeight w:val="1749"/>
        </w:trPr>
        <w:tc>
          <w:tcPr>
            <w:tcW w:w="0" w:type="auto"/>
            <w:tcBorders>
              <w:top w:val="nil"/>
              <w:left w:val="single" w:sz="8" w:space="0" w:color="auto"/>
              <w:bottom w:val="single" w:sz="4" w:space="0" w:color="auto"/>
              <w:right w:val="single" w:sz="4" w:space="0" w:color="auto"/>
            </w:tcBorders>
            <w:vAlign w:val="center"/>
            <w:hideMark/>
          </w:tcPr>
          <w:p w14:paraId="6EFBEE98"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Nadie dice quién avisa al cliente cuando la solicitud se rechaza por plazo.</w:t>
            </w:r>
          </w:p>
        </w:tc>
        <w:tc>
          <w:tcPr>
            <w:tcW w:w="0" w:type="auto"/>
            <w:tcBorders>
              <w:top w:val="nil"/>
              <w:left w:val="nil"/>
              <w:bottom w:val="single" w:sz="4" w:space="0" w:color="auto"/>
              <w:right w:val="single" w:sz="4" w:space="0" w:color="auto"/>
            </w:tcBorders>
            <w:vAlign w:val="center"/>
            <w:hideMark/>
          </w:tcPr>
          <w:p w14:paraId="51FD2BBD"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Camila notifica al cliente como parte de la misma tarea "Se cancela la solicitud", sin tarea ni flujo de mensaje independiente hacia el pool Cliente.</w:t>
            </w:r>
          </w:p>
        </w:tc>
        <w:tc>
          <w:tcPr>
            <w:tcW w:w="0" w:type="auto"/>
            <w:tcBorders>
              <w:top w:val="nil"/>
              <w:left w:val="nil"/>
              <w:bottom w:val="single" w:sz="4" w:space="0" w:color="auto"/>
              <w:right w:val="single" w:sz="8" w:space="0" w:color="auto"/>
            </w:tcBorders>
            <w:vAlign w:val="center"/>
            <w:hideMark/>
          </w:tcPr>
          <w:p w14:paraId="7883C880"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Habría que dividir "Se cancela la solicitud" en la tarea interna de rechazo más un flujo de mensaje saliente hacia el pool Cliente, agregando tiempo de trabajo a esa parte.</w:t>
            </w:r>
          </w:p>
        </w:tc>
      </w:tr>
      <w:tr w:rsidR="00EF3343" w:rsidRPr="00EF3343" w14:paraId="2EB5F08B" w14:textId="77777777" w:rsidTr="00EF3343">
        <w:trPr>
          <w:trHeight w:val="2273"/>
        </w:trPr>
        <w:tc>
          <w:tcPr>
            <w:tcW w:w="0" w:type="auto"/>
            <w:tcBorders>
              <w:top w:val="nil"/>
              <w:left w:val="single" w:sz="8" w:space="0" w:color="auto"/>
              <w:bottom w:val="single" w:sz="4" w:space="0" w:color="auto"/>
              <w:right w:val="single" w:sz="4" w:space="0" w:color="auto"/>
            </w:tcBorders>
            <w:vAlign w:val="center"/>
            <w:hideMark/>
          </w:tcPr>
          <w:p w14:paraId="5C0C48E5"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Rodrigo dice que la autorización gerencial "a veces llega antes de agendar y a veces cuando el producto ya está acá" — el propio proceso real es inconsistente en el orden.</w:t>
            </w:r>
          </w:p>
        </w:tc>
        <w:tc>
          <w:tcPr>
            <w:tcW w:w="0" w:type="auto"/>
            <w:tcBorders>
              <w:top w:val="nil"/>
              <w:left w:val="nil"/>
              <w:bottom w:val="single" w:sz="4" w:space="0" w:color="auto"/>
              <w:right w:val="single" w:sz="4" w:space="0" w:color="auto"/>
            </w:tcBorders>
            <w:vAlign w:val="center"/>
            <w:hideMark/>
          </w:tcPr>
          <w:p w14:paraId="5E556CCE"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La autorización gerencial siempre ocurre antes de agendar el retiro (orden fijo), tal como está modelado: monto → autorización → Rodrigo revisa → agenda.</w:t>
            </w:r>
          </w:p>
        </w:tc>
        <w:tc>
          <w:tcPr>
            <w:tcW w:w="0" w:type="auto"/>
            <w:tcBorders>
              <w:top w:val="nil"/>
              <w:left w:val="nil"/>
              <w:bottom w:val="single" w:sz="4" w:space="0" w:color="auto"/>
              <w:right w:val="single" w:sz="8" w:space="0" w:color="auto"/>
            </w:tcBorders>
            <w:vAlign w:val="center"/>
            <w:hideMark/>
          </w:tcPr>
          <w:p w14:paraId="0E3BFF18"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Si el orden fuera a veces posterior, la compuerta entre "agendar retiro" y "solicitar autorización" tendría que ser paralela en vez de secuencial, y el tiempo de ciclo de esa parte bajaría porque ambas esperas correrían en simultáneo.</w:t>
            </w:r>
          </w:p>
        </w:tc>
      </w:tr>
      <w:tr w:rsidR="00EF3343" w:rsidRPr="00EF3343" w14:paraId="1CA8D92A" w14:textId="77777777" w:rsidTr="00EF3343">
        <w:trPr>
          <w:trHeight w:val="2273"/>
        </w:trPr>
        <w:tc>
          <w:tcPr>
            <w:tcW w:w="0" w:type="auto"/>
            <w:tcBorders>
              <w:top w:val="nil"/>
              <w:left w:val="single" w:sz="8" w:space="0" w:color="auto"/>
              <w:bottom w:val="single" w:sz="4" w:space="0" w:color="auto"/>
              <w:right w:val="single" w:sz="4" w:space="0" w:color="auto"/>
            </w:tcBorders>
            <w:vAlign w:val="center"/>
            <w:hideMark/>
          </w:tcPr>
          <w:p w14:paraId="14D9E083"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Patricia dice que "la ficha se cierra cuando el producto queda dispuesto", pero no aclara si eso ocurre al derivar a taller o al volver reacondicionado.</w:t>
            </w:r>
          </w:p>
        </w:tc>
        <w:tc>
          <w:tcPr>
            <w:tcW w:w="0" w:type="auto"/>
            <w:tcBorders>
              <w:top w:val="nil"/>
              <w:left w:val="nil"/>
              <w:bottom w:val="single" w:sz="4" w:space="0" w:color="auto"/>
              <w:right w:val="single" w:sz="4" w:space="0" w:color="auto"/>
            </w:tcBorders>
            <w:vAlign w:val="center"/>
            <w:hideMark/>
          </w:tcPr>
          <w:p w14:paraId="0586B72B"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La ficha permanece abierta durante los 5 días de taller; se cierra recién cuando el producto reacondicionado vuelve a stock.</w:t>
            </w:r>
          </w:p>
        </w:tc>
        <w:tc>
          <w:tcPr>
            <w:tcW w:w="0" w:type="auto"/>
            <w:tcBorders>
              <w:top w:val="nil"/>
              <w:left w:val="nil"/>
              <w:bottom w:val="single" w:sz="4" w:space="0" w:color="auto"/>
              <w:right w:val="single" w:sz="8" w:space="0" w:color="auto"/>
            </w:tcBorders>
            <w:vAlign w:val="center"/>
            <w:hideMark/>
          </w:tcPr>
          <w:p w14:paraId="1C2D9B3B"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Si se cerrara al derivar a taller, el tiempo de ese ciclo bajaría 5 días, pero Finanzas emitiría el reembolso antes de saber si el producto se recupera, lo que contradice la regla de negocio 3 (los tres destinos deben resolverse antes de cerrar el caso).</w:t>
            </w:r>
          </w:p>
        </w:tc>
      </w:tr>
      <w:tr w:rsidR="00EF3343" w:rsidRPr="00EF3343" w14:paraId="3D328B3B" w14:textId="77777777" w:rsidTr="00EF3343">
        <w:trPr>
          <w:trHeight w:val="2107"/>
        </w:trPr>
        <w:tc>
          <w:tcPr>
            <w:tcW w:w="0" w:type="auto"/>
            <w:tcBorders>
              <w:top w:val="nil"/>
              <w:left w:val="single" w:sz="8" w:space="0" w:color="auto"/>
              <w:bottom w:val="single" w:sz="8" w:space="0" w:color="auto"/>
              <w:right w:val="single" w:sz="4" w:space="0" w:color="auto"/>
            </w:tcBorders>
            <w:vAlign w:val="center"/>
            <w:hideMark/>
          </w:tcPr>
          <w:p w14:paraId="149FD29D"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Nadie dice si la pasarela confirma de vuelta que la transacción se procesó.</w:t>
            </w:r>
          </w:p>
        </w:tc>
        <w:tc>
          <w:tcPr>
            <w:tcW w:w="0" w:type="auto"/>
            <w:tcBorders>
              <w:top w:val="nil"/>
              <w:left w:val="nil"/>
              <w:bottom w:val="single" w:sz="8" w:space="0" w:color="auto"/>
              <w:right w:val="single" w:sz="4" w:space="0" w:color="auto"/>
            </w:tcBorders>
            <w:vAlign w:val="center"/>
            <w:hideMark/>
          </w:tcPr>
          <w:p w14:paraId="525F86E8" w14:textId="77777777"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Finanzas emite y el caso se cierra sin esperar confirmación digital.</w:t>
            </w:r>
          </w:p>
        </w:tc>
        <w:tc>
          <w:tcPr>
            <w:tcW w:w="0" w:type="auto"/>
            <w:tcBorders>
              <w:top w:val="nil"/>
              <w:left w:val="nil"/>
              <w:bottom w:val="single" w:sz="8" w:space="0" w:color="auto"/>
              <w:right w:val="single" w:sz="8" w:space="0" w:color="auto"/>
            </w:tcBorders>
            <w:vAlign w:val="center"/>
            <w:hideMark/>
          </w:tcPr>
          <w:p w14:paraId="35C76320" w14:textId="3FB7F871" w:rsidR="00EF3343" w:rsidRPr="00EF3343" w:rsidRDefault="00EF3343" w:rsidP="00EF33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Si la pasarela confirmara, habría que agregar un evento intermedio de captura de mensaje, y el cierre formal del caso esperaría esa confirmación alargando el ciclo de la última etapa.</w:t>
            </w:r>
          </w:p>
        </w:tc>
      </w:tr>
    </w:tbl>
    <w:p w14:paraId="571430A5" w14:textId="77777777" w:rsidR="00472F94" w:rsidRPr="001C1695" w:rsidRDefault="00472F94" w:rsidP="005E76B5">
      <w:pPr>
        <w:spacing w:line="360" w:lineRule="auto"/>
        <w:rPr>
          <w:rFonts w:ascii="Times New Roman" w:hAnsi="Times New Roman" w:cs="Times New Roman"/>
          <w:sz w:val="32"/>
          <w:szCs w:val="32"/>
        </w:rPr>
      </w:pPr>
    </w:p>
    <w:p w14:paraId="3C9B1E75" w14:textId="77777777" w:rsidR="005C03A2" w:rsidRPr="0007738E" w:rsidRDefault="0007738E" w:rsidP="0007738E">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PROBLEMAS ENCONTRADOS</w:t>
      </w:r>
    </w:p>
    <w:tbl>
      <w:tblPr>
        <w:tblW w:w="0" w:type="auto"/>
        <w:tblCellMar>
          <w:left w:w="70" w:type="dxa"/>
          <w:right w:w="70" w:type="dxa"/>
        </w:tblCellMar>
        <w:tblLook w:val="04A0" w:firstRow="1" w:lastRow="0" w:firstColumn="1" w:lastColumn="0" w:noHBand="0" w:noVBand="1"/>
      </w:tblPr>
      <w:tblGrid>
        <w:gridCol w:w="2015"/>
        <w:gridCol w:w="2867"/>
        <w:gridCol w:w="1667"/>
        <w:gridCol w:w="2269"/>
      </w:tblGrid>
      <w:tr w:rsidR="00D33386" w:rsidRPr="00D33386" w14:paraId="57CA5FDA" w14:textId="77777777" w:rsidTr="0031794B">
        <w:trPr>
          <w:trHeight w:val="300"/>
        </w:trPr>
        <w:tc>
          <w:tcPr>
            <w:tcW w:w="0" w:type="auto"/>
            <w:tcBorders>
              <w:top w:val="single" w:sz="8" w:space="0" w:color="auto"/>
              <w:left w:val="single" w:sz="8" w:space="0" w:color="auto"/>
              <w:bottom w:val="single" w:sz="4" w:space="0" w:color="auto"/>
              <w:right w:val="single" w:sz="4" w:space="0" w:color="auto"/>
            </w:tcBorders>
            <w:noWrap/>
            <w:vAlign w:val="bottom"/>
            <w:hideMark/>
          </w:tcPr>
          <w:p w14:paraId="25EC334A" w14:textId="77777777" w:rsidR="00D33386" w:rsidRPr="00EB2743" w:rsidRDefault="00D33386" w:rsidP="00EB2743">
            <w:pPr>
              <w:spacing w:after="0" w:line="240" w:lineRule="auto"/>
              <w:jc w:val="center"/>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Problema (tipo)</w:t>
            </w:r>
          </w:p>
        </w:tc>
        <w:tc>
          <w:tcPr>
            <w:tcW w:w="0" w:type="auto"/>
            <w:tcBorders>
              <w:top w:val="single" w:sz="8" w:space="0" w:color="auto"/>
              <w:left w:val="nil"/>
              <w:bottom w:val="single" w:sz="4" w:space="0" w:color="auto"/>
              <w:right w:val="single" w:sz="4" w:space="0" w:color="auto"/>
            </w:tcBorders>
            <w:noWrap/>
            <w:vAlign w:val="bottom"/>
            <w:hideMark/>
          </w:tcPr>
          <w:p w14:paraId="71786DFA" w14:textId="77777777" w:rsidR="00D33386" w:rsidRPr="00EB2743" w:rsidRDefault="00D33386" w:rsidP="00EB2743">
            <w:pPr>
              <w:spacing w:after="0" w:line="240" w:lineRule="auto"/>
              <w:jc w:val="center"/>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Evidencia en el AS-IS</w:t>
            </w:r>
          </w:p>
        </w:tc>
        <w:tc>
          <w:tcPr>
            <w:tcW w:w="0" w:type="auto"/>
            <w:tcBorders>
              <w:top w:val="single" w:sz="8" w:space="0" w:color="auto"/>
              <w:left w:val="nil"/>
              <w:bottom w:val="single" w:sz="4" w:space="0" w:color="auto"/>
              <w:right w:val="single" w:sz="4" w:space="0" w:color="auto"/>
            </w:tcBorders>
            <w:noWrap/>
            <w:vAlign w:val="bottom"/>
            <w:hideMark/>
          </w:tcPr>
          <w:p w14:paraId="342016B1" w14:textId="77777777" w:rsidR="00D33386" w:rsidRPr="00EB2743" w:rsidRDefault="00D33386" w:rsidP="00EB2743">
            <w:pPr>
              <w:spacing w:after="0" w:line="240" w:lineRule="auto"/>
              <w:jc w:val="center"/>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Impacto (horas)</w:t>
            </w:r>
          </w:p>
        </w:tc>
        <w:tc>
          <w:tcPr>
            <w:tcW w:w="0" w:type="auto"/>
            <w:tcBorders>
              <w:top w:val="single" w:sz="8" w:space="0" w:color="auto"/>
              <w:left w:val="nil"/>
              <w:bottom w:val="single" w:sz="4" w:space="0" w:color="auto"/>
              <w:right w:val="single" w:sz="8" w:space="0" w:color="auto"/>
            </w:tcBorders>
            <w:noWrap/>
            <w:vAlign w:val="bottom"/>
            <w:hideMark/>
          </w:tcPr>
          <w:p w14:paraId="4E135C57" w14:textId="77777777" w:rsidR="00D33386" w:rsidRPr="00EB2743" w:rsidRDefault="00D33386" w:rsidP="00EB2743">
            <w:pPr>
              <w:spacing w:after="0" w:line="240" w:lineRule="auto"/>
              <w:jc w:val="center"/>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Impacto (CLP/mes)</w:t>
            </w:r>
          </w:p>
        </w:tc>
      </w:tr>
      <w:tr w:rsidR="00D33386" w:rsidRPr="00D33386" w14:paraId="16F955ED" w14:textId="77777777" w:rsidTr="00D33386">
        <w:trPr>
          <w:trHeight w:val="630"/>
        </w:trPr>
        <w:tc>
          <w:tcPr>
            <w:tcW w:w="0" w:type="auto"/>
            <w:tcBorders>
              <w:top w:val="nil"/>
              <w:left w:val="single" w:sz="8" w:space="0" w:color="auto"/>
              <w:bottom w:val="single" w:sz="4" w:space="0" w:color="auto"/>
              <w:right w:val="single" w:sz="4" w:space="0" w:color="auto"/>
            </w:tcBorders>
            <w:vAlign w:val="center"/>
            <w:hideMark/>
          </w:tcPr>
          <w:p w14:paraId="09CC1DC4" w14:textId="77777777" w:rsidR="00D33386" w:rsidRPr="00D33386" w:rsidRDefault="00D33386"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Control redundante: Rodrigo revalida boleta/plazo que Camila ya verificó</w:t>
            </w:r>
          </w:p>
        </w:tc>
        <w:tc>
          <w:tcPr>
            <w:tcW w:w="0" w:type="auto"/>
            <w:tcBorders>
              <w:top w:val="nil"/>
              <w:left w:val="nil"/>
              <w:bottom w:val="single" w:sz="4" w:space="0" w:color="auto"/>
              <w:right w:val="single" w:sz="4" w:space="0" w:color="auto"/>
            </w:tcBorders>
            <w:vAlign w:val="center"/>
            <w:hideMark/>
          </w:tcPr>
          <w:p w14:paraId="769EAD6F" w14:textId="77777777" w:rsidR="00D33386" w:rsidRPr="00D33386" w:rsidRDefault="00D33386"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Tareas “Verificar boleta y plazo” (Camila) y “Revisar y autoriza” (Rodrigo) en el AS-IS, lane Atención al cliente</w:t>
            </w:r>
          </w:p>
        </w:tc>
        <w:tc>
          <w:tcPr>
            <w:tcW w:w="0" w:type="auto"/>
            <w:tcBorders>
              <w:top w:val="nil"/>
              <w:left w:val="nil"/>
              <w:bottom w:val="single" w:sz="4" w:space="0" w:color="auto"/>
              <w:right w:val="single" w:sz="4" w:space="0" w:color="auto"/>
            </w:tcBorders>
            <w:vAlign w:val="center"/>
            <w:hideMark/>
          </w:tcPr>
          <w:p w14:paraId="4070753C" w14:textId="77777777" w:rsidR="00D33386" w:rsidRPr="00D33386" w:rsidRDefault="00D33386" w:rsidP="00D3338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24,8</w:t>
            </w:r>
          </w:p>
        </w:tc>
        <w:tc>
          <w:tcPr>
            <w:tcW w:w="0" w:type="auto"/>
            <w:tcBorders>
              <w:top w:val="nil"/>
              <w:left w:val="nil"/>
              <w:bottom w:val="single" w:sz="4" w:space="0" w:color="auto"/>
              <w:right w:val="single" w:sz="8" w:space="0" w:color="auto"/>
            </w:tcBorders>
            <w:vAlign w:val="center"/>
            <w:hideMark/>
          </w:tcPr>
          <w:p w14:paraId="354E46A7" w14:textId="77777777" w:rsidR="00D33386" w:rsidRPr="00D33386" w:rsidRDefault="00D33386" w:rsidP="00D3338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$272.432</w:t>
            </w:r>
          </w:p>
        </w:tc>
      </w:tr>
      <w:tr w:rsidR="00D33386" w:rsidRPr="00D33386" w14:paraId="15B8FB19" w14:textId="77777777" w:rsidTr="00D33386">
        <w:trPr>
          <w:trHeight w:val="315"/>
        </w:trPr>
        <w:tc>
          <w:tcPr>
            <w:tcW w:w="0" w:type="auto"/>
            <w:tcBorders>
              <w:top w:val="nil"/>
              <w:left w:val="single" w:sz="8" w:space="0" w:color="auto"/>
              <w:bottom w:val="single" w:sz="4" w:space="0" w:color="auto"/>
              <w:right w:val="single" w:sz="4" w:space="0" w:color="auto"/>
            </w:tcBorders>
            <w:vAlign w:val="center"/>
            <w:hideMark/>
          </w:tcPr>
          <w:p w14:paraId="76623618" w14:textId="77777777" w:rsidR="00D33386" w:rsidRPr="00D33386" w:rsidRDefault="002F3ABD"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Decisión tardía: Rodrigo agrupa las revisiones en 2 tandas al día (loteo)</w:t>
            </w:r>
          </w:p>
        </w:tc>
        <w:tc>
          <w:tcPr>
            <w:tcW w:w="0" w:type="auto"/>
            <w:tcBorders>
              <w:top w:val="nil"/>
              <w:left w:val="nil"/>
              <w:bottom w:val="single" w:sz="4" w:space="0" w:color="auto"/>
              <w:right w:val="single" w:sz="4" w:space="0" w:color="auto"/>
            </w:tcBorders>
            <w:vAlign w:val="center"/>
            <w:hideMark/>
          </w:tcPr>
          <w:p w14:paraId="30C21E1F" w14:textId="77777777" w:rsidR="00D33386" w:rsidRPr="00D33386" w:rsidRDefault="00D33386"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Espera de 6h asociada a “Revisar y autorizar” (Rodrigo), lane Atención al cliente</w:t>
            </w:r>
          </w:p>
        </w:tc>
        <w:tc>
          <w:tcPr>
            <w:tcW w:w="0" w:type="auto"/>
            <w:tcBorders>
              <w:top w:val="nil"/>
              <w:left w:val="nil"/>
              <w:bottom w:val="single" w:sz="4" w:space="0" w:color="auto"/>
              <w:right w:val="single" w:sz="4" w:space="0" w:color="auto"/>
            </w:tcBorders>
            <w:vAlign w:val="center"/>
            <w:hideMark/>
          </w:tcPr>
          <w:p w14:paraId="220A5837" w14:textId="77777777" w:rsidR="00D33386" w:rsidRPr="00D33386" w:rsidRDefault="00D33386" w:rsidP="00D3338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891,6</w:t>
            </w:r>
          </w:p>
        </w:tc>
        <w:tc>
          <w:tcPr>
            <w:tcW w:w="0" w:type="auto"/>
            <w:tcBorders>
              <w:top w:val="nil"/>
              <w:left w:val="nil"/>
              <w:bottom w:val="single" w:sz="4" w:space="0" w:color="auto"/>
              <w:right w:val="single" w:sz="8" w:space="0" w:color="auto"/>
            </w:tcBorders>
            <w:vAlign w:val="center"/>
            <w:hideMark/>
          </w:tcPr>
          <w:p w14:paraId="01E6FE5E" w14:textId="77777777" w:rsidR="00D33386" w:rsidRPr="00D33386" w:rsidRDefault="00D33386" w:rsidP="002F3ABD">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(no aplica costo directo, es espera pura que agrega horas de ciclo)</w:t>
            </w:r>
          </w:p>
        </w:tc>
      </w:tr>
      <w:tr w:rsidR="00D33386" w:rsidRPr="00D33386" w14:paraId="738651CB" w14:textId="77777777" w:rsidTr="00D33386">
        <w:trPr>
          <w:trHeight w:val="645"/>
        </w:trPr>
        <w:tc>
          <w:tcPr>
            <w:tcW w:w="0" w:type="auto"/>
            <w:tcBorders>
              <w:top w:val="nil"/>
              <w:left w:val="single" w:sz="8" w:space="0" w:color="auto"/>
              <w:bottom w:val="single" w:sz="8" w:space="0" w:color="auto"/>
              <w:right w:val="single" w:sz="4" w:space="0" w:color="auto"/>
            </w:tcBorders>
            <w:vAlign w:val="center"/>
            <w:hideMark/>
          </w:tcPr>
          <w:p w14:paraId="7485A23B" w14:textId="77777777" w:rsidR="00D33386" w:rsidRPr="00D33386" w:rsidRDefault="00D33386"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Traspaso manual y reproceso entre 3 sistemas desconectados (planilla, WMS, Finanzas)</w:t>
            </w:r>
          </w:p>
        </w:tc>
        <w:tc>
          <w:tcPr>
            <w:tcW w:w="0" w:type="auto"/>
            <w:tcBorders>
              <w:top w:val="nil"/>
              <w:left w:val="nil"/>
              <w:bottom w:val="single" w:sz="8" w:space="0" w:color="auto"/>
              <w:right w:val="single" w:sz="4" w:space="0" w:color="auto"/>
            </w:tcBorders>
            <w:vAlign w:val="center"/>
            <w:hideMark/>
          </w:tcPr>
          <w:p w14:paraId="45ADB276" w14:textId="77777777" w:rsidR="00D33386" w:rsidRPr="00D33386" w:rsidRDefault="00D33386" w:rsidP="00EB2743">
            <w:pPr>
              <w:spacing w:after="0" w:line="276"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Cadena “Digitar en WMS y avisar, Revalidar en Finanzas” (Sebastián revalida lo de Camila/Rodrigo); 9% de discrepancia obliga reproceso</w:t>
            </w:r>
          </w:p>
        </w:tc>
        <w:tc>
          <w:tcPr>
            <w:tcW w:w="0" w:type="auto"/>
            <w:tcBorders>
              <w:top w:val="nil"/>
              <w:left w:val="nil"/>
              <w:bottom w:val="single" w:sz="8" w:space="0" w:color="auto"/>
              <w:right w:val="single" w:sz="4" w:space="0" w:color="auto"/>
            </w:tcBorders>
            <w:vAlign w:val="center"/>
            <w:hideMark/>
          </w:tcPr>
          <w:p w14:paraId="33A42A9D" w14:textId="77777777" w:rsidR="00D33386" w:rsidRPr="00D33386" w:rsidRDefault="00D33386" w:rsidP="00D3338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30,5</w:t>
            </w:r>
          </w:p>
        </w:tc>
        <w:tc>
          <w:tcPr>
            <w:tcW w:w="0" w:type="auto"/>
            <w:tcBorders>
              <w:top w:val="nil"/>
              <w:left w:val="nil"/>
              <w:bottom w:val="single" w:sz="8" w:space="0" w:color="auto"/>
              <w:right w:val="single" w:sz="8" w:space="0" w:color="auto"/>
            </w:tcBorders>
            <w:vAlign w:val="center"/>
            <w:hideMark/>
          </w:tcPr>
          <w:p w14:paraId="3C03A965" w14:textId="77777777" w:rsidR="00D33386" w:rsidRPr="00D33386" w:rsidRDefault="00D33386" w:rsidP="00D33386">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$267.702</w:t>
            </w:r>
          </w:p>
        </w:tc>
      </w:tr>
    </w:tbl>
    <w:p w14:paraId="02FCCB3E" w14:textId="77777777" w:rsidR="009C2138" w:rsidRDefault="009C2138" w:rsidP="009E2B6D">
      <w:pPr>
        <w:spacing w:line="360" w:lineRule="auto"/>
        <w:jc w:val="both"/>
        <w:rPr>
          <w:rFonts w:ascii="Times New Roman" w:hAnsi="Times New Roman" w:cs="Times New Roman"/>
        </w:rPr>
      </w:pPr>
    </w:p>
    <w:p w14:paraId="370DAB9E" w14:textId="77777777" w:rsidR="005B043D" w:rsidRDefault="005B043D" w:rsidP="002F3ABD">
      <w:pPr>
        <w:spacing w:line="360" w:lineRule="auto"/>
        <w:jc w:val="both"/>
        <w:rPr>
          <w:rFonts w:ascii="Times New Roman" w:hAnsi="Times New Roman" w:cs="Times New Roman"/>
        </w:rPr>
      </w:pPr>
      <w:r>
        <w:rPr>
          <w:rFonts w:ascii="Times New Roman" w:hAnsi="Times New Roman" w:cs="Times New Roman"/>
        </w:rPr>
        <w:t>Tiempo promedio ponderado por probabilidad: 202,5 horas (8,4 días).</w:t>
      </w:r>
    </w:p>
    <w:p w14:paraId="227D98AE" w14:textId="77777777" w:rsidR="00732CFA" w:rsidRDefault="003971B5" w:rsidP="002F3ABD">
      <w:pPr>
        <w:spacing w:line="360" w:lineRule="auto"/>
        <w:jc w:val="both"/>
        <w:rPr>
          <w:rFonts w:ascii="Times New Roman" w:hAnsi="Times New Roman" w:cs="Times New Roman"/>
        </w:rPr>
      </w:pPr>
      <w:r>
        <w:rPr>
          <w:rFonts w:ascii="Times New Roman" w:hAnsi="Times New Roman" w:cs="Times New Roman"/>
        </w:rPr>
        <w:t>Índice de eficiencia del ciclo: se calcularon 1,52 horas de trabajo en total que si se dividen en la cantidad de horas (promedio) del ciclo da una eficiencia del 0,75%, esto se debe a la gran cantidad de espera que hay entre partes del proceso.</w:t>
      </w:r>
    </w:p>
    <w:p w14:paraId="4757123E" w14:textId="77777777" w:rsidR="00B948AE" w:rsidRDefault="005E4283" w:rsidP="002F3ABD">
      <w:pPr>
        <w:spacing w:line="360" w:lineRule="auto"/>
        <w:jc w:val="both"/>
        <w:rPr>
          <w:rFonts w:ascii="Times New Roman" w:hAnsi="Times New Roman" w:cs="Times New Roman"/>
        </w:rPr>
      </w:pPr>
      <w:r>
        <w:rPr>
          <w:rFonts w:ascii="Times New Roman" w:hAnsi="Times New Roman" w:cs="Times New Roman"/>
        </w:rPr>
        <w:t xml:space="preserve">Costo: Con el valor de V=215 se calculó un costo por solicitud de $14.301 por solicitud y $3.074.768 al mes. </w:t>
      </w:r>
    </w:p>
    <w:p w14:paraId="7263B5DA" w14:textId="77777777" w:rsidR="005E4283" w:rsidRDefault="00B948AE" w:rsidP="002F3ABD">
      <w:pPr>
        <w:spacing w:line="360" w:lineRule="auto"/>
        <w:jc w:val="both"/>
        <w:rPr>
          <w:rFonts w:ascii="Times New Roman" w:hAnsi="Times New Roman" w:cs="Times New Roman"/>
        </w:rPr>
      </w:pPr>
      <w:r>
        <w:rPr>
          <w:rFonts w:ascii="Times New Roman" w:hAnsi="Times New Roman" w:cs="Times New Roman"/>
        </w:rPr>
        <w:t>Volumen por rama por mes: Se calcularon 56 (55,9) solicitudes rechazadas por plazo, 11 (10,5) rechazadas por gerencia y 149 (148,6) que se completan (mitad por tienda y mitad por Courier).</w:t>
      </w:r>
    </w:p>
    <w:p w14:paraId="76446A85" w14:textId="77777777" w:rsidR="002F3ABD" w:rsidRPr="009E2B6D" w:rsidRDefault="002F3ABD" w:rsidP="002F3ABD">
      <w:pPr>
        <w:spacing w:line="360" w:lineRule="auto"/>
        <w:jc w:val="both"/>
        <w:rPr>
          <w:rFonts w:ascii="Times New Roman" w:hAnsi="Times New Roman" w:cs="Times New Roman"/>
        </w:rPr>
      </w:pPr>
    </w:p>
    <w:p w14:paraId="39B77A1C" w14:textId="77777777" w:rsidR="00926AB5" w:rsidRDefault="00926AB5" w:rsidP="00430998">
      <w:pPr>
        <w:spacing w:line="360" w:lineRule="auto"/>
        <w:jc w:val="both"/>
        <w:rPr>
          <w:rFonts w:ascii="Times New Roman" w:hAnsi="Times New Roman" w:cs="Times New Roman"/>
        </w:rPr>
      </w:pPr>
    </w:p>
    <w:p w14:paraId="4ED45F82" w14:textId="77777777" w:rsidR="00894855" w:rsidRDefault="00894855" w:rsidP="00430998">
      <w:pPr>
        <w:spacing w:line="360" w:lineRule="auto"/>
        <w:jc w:val="both"/>
        <w:rPr>
          <w:rFonts w:ascii="Times New Roman" w:hAnsi="Times New Roman" w:cs="Times New Roman"/>
        </w:rPr>
      </w:pPr>
    </w:p>
    <w:p w14:paraId="4460E82D" w14:textId="77777777" w:rsidR="005F298D" w:rsidRDefault="00686368" w:rsidP="00686368">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TABLA DE JUSTIFICACIÓN</w:t>
      </w:r>
    </w:p>
    <w:p w14:paraId="54B7DA0B" w14:textId="1FB35E10" w:rsidR="000E194A" w:rsidRDefault="00000000">
      <w:pPr>
        <w:spacing w:line="360" w:lineRule="auto"/>
        <w:jc w:val="both"/>
        <w:rPr>
          <w:rFonts w:ascii="Times New Roman" w:hAnsi="Times New Roman" w:cs="Times New Roman"/>
        </w:rPr>
      </w:pPr>
      <w:r>
        <w:rPr>
          <w:rFonts w:ascii="Times New Roman" w:hAnsi="Times New Roman" w:cs="Times New Roman"/>
        </w:rPr>
        <w:t>Cabe señalar que el marco de reingeniería utilizado en esta parte se cita a partir de la Sesión 3 del curso (láminas 76 y 77), por no disponer del capítulo 17 del cuaderno mencionado en el enunciado.</w:t>
      </w:r>
    </w:p>
    <w:tbl>
      <w:tblPr>
        <w:tblW w:w="0" w:type="auto"/>
        <w:tblCellMar>
          <w:left w:w="70" w:type="dxa"/>
          <w:right w:w="70" w:type="dxa"/>
        </w:tblCellMar>
        <w:tblLook w:val="04A0" w:firstRow="1" w:lastRow="0" w:firstColumn="1" w:lastColumn="0" w:noHBand="0" w:noVBand="1"/>
      </w:tblPr>
      <w:tblGrid>
        <w:gridCol w:w="260"/>
        <w:gridCol w:w="3133"/>
        <w:gridCol w:w="2107"/>
        <w:gridCol w:w="1594"/>
        <w:gridCol w:w="1724"/>
      </w:tblGrid>
      <w:tr w:rsidR="00C87D43" w:rsidRPr="00C87D43" w14:paraId="00C6340E" w14:textId="77777777" w:rsidTr="005F2BE8">
        <w:trPr>
          <w:trHeight w:val="300"/>
        </w:trPr>
        <w:tc>
          <w:tcPr>
            <w:tcW w:w="0" w:type="auto"/>
            <w:tcBorders>
              <w:top w:val="single" w:sz="8" w:space="0" w:color="auto"/>
              <w:left w:val="single" w:sz="8" w:space="0" w:color="auto"/>
              <w:bottom w:val="single" w:sz="4" w:space="0" w:color="auto"/>
              <w:right w:val="single" w:sz="4" w:space="0" w:color="auto"/>
            </w:tcBorders>
            <w:noWrap/>
            <w:vAlign w:val="center"/>
            <w:hideMark/>
          </w:tcPr>
          <w:p w14:paraId="2C34ADB7"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w:t>
            </w:r>
          </w:p>
        </w:tc>
        <w:tc>
          <w:tcPr>
            <w:tcW w:w="0" w:type="auto"/>
            <w:tcBorders>
              <w:top w:val="single" w:sz="8" w:space="0" w:color="auto"/>
              <w:left w:val="nil"/>
              <w:bottom w:val="single" w:sz="4" w:space="0" w:color="auto"/>
              <w:right w:val="single" w:sz="4" w:space="0" w:color="auto"/>
            </w:tcBorders>
            <w:noWrap/>
            <w:vAlign w:val="center"/>
            <w:hideMark/>
          </w:tcPr>
          <w:p w14:paraId="7BF91786" w14:textId="77777777" w:rsidR="00C87D43" w:rsidRPr="003B09B9" w:rsidRDefault="00C87D43" w:rsidP="005F2BE8">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Qué cambió</w:t>
            </w:r>
          </w:p>
        </w:tc>
        <w:tc>
          <w:tcPr>
            <w:tcW w:w="0" w:type="auto"/>
            <w:tcBorders>
              <w:top w:val="single" w:sz="8" w:space="0" w:color="auto"/>
              <w:left w:val="nil"/>
              <w:bottom w:val="single" w:sz="4" w:space="0" w:color="auto"/>
              <w:right w:val="single" w:sz="4" w:space="0" w:color="auto"/>
            </w:tcBorders>
            <w:noWrap/>
            <w:vAlign w:val="center"/>
            <w:hideMark/>
          </w:tcPr>
          <w:p w14:paraId="1E086BEA" w14:textId="77777777" w:rsidR="00C87D43" w:rsidRPr="003B09B9" w:rsidRDefault="00C87D43" w:rsidP="005F2BE8">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Principio</w:t>
            </w:r>
          </w:p>
        </w:tc>
        <w:tc>
          <w:tcPr>
            <w:tcW w:w="0" w:type="auto"/>
            <w:tcBorders>
              <w:top w:val="single" w:sz="8" w:space="0" w:color="auto"/>
              <w:left w:val="nil"/>
              <w:bottom w:val="single" w:sz="4" w:space="0" w:color="auto"/>
              <w:right w:val="single" w:sz="4" w:space="0" w:color="auto"/>
            </w:tcBorders>
            <w:noWrap/>
            <w:vAlign w:val="center"/>
            <w:hideMark/>
          </w:tcPr>
          <w:p w14:paraId="4420A9C7" w14:textId="77777777" w:rsidR="00C87D43" w:rsidRPr="003B09B9" w:rsidRDefault="00C87D43" w:rsidP="005F2BE8">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Mejora</w:t>
            </w:r>
          </w:p>
        </w:tc>
        <w:tc>
          <w:tcPr>
            <w:tcW w:w="0" w:type="auto"/>
            <w:tcBorders>
              <w:top w:val="single" w:sz="8" w:space="0" w:color="auto"/>
              <w:left w:val="nil"/>
              <w:bottom w:val="single" w:sz="4" w:space="0" w:color="auto"/>
              <w:right w:val="single" w:sz="8" w:space="0" w:color="auto"/>
            </w:tcBorders>
            <w:noWrap/>
            <w:vAlign w:val="center"/>
            <w:hideMark/>
          </w:tcPr>
          <w:p w14:paraId="341E12DB" w14:textId="77777777" w:rsidR="00C87D43" w:rsidRPr="003B09B9" w:rsidRDefault="00C87D43" w:rsidP="005F2BE8">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Clasificación</w:t>
            </w:r>
          </w:p>
        </w:tc>
      </w:tr>
      <w:tr w:rsidR="00C87D43" w:rsidRPr="00C87D43" w14:paraId="21B58B87" w14:textId="77777777" w:rsidTr="00C87D43">
        <w:trPr>
          <w:trHeight w:val="900"/>
        </w:trPr>
        <w:tc>
          <w:tcPr>
            <w:tcW w:w="0" w:type="auto"/>
            <w:tcBorders>
              <w:top w:val="nil"/>
              <w:left w:val="single" w:sz="8" w:space="0" w:color="auto"/>
              <w:bottom w:val="single" w:sz="4" w:space="0" w:color="auto"/>
              <w:right w:val="single" w:sz="4" w:space="0" w:color="auto"/>
            </w:tcBorders>
            <w:noWrap/>
            <w:vAlign w:val="center"/>
            <w:hideMark/>
          </w:tcPr>
          <w:p w14:paraId="4EC79E0E"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1</w:t>
            </w:r>
          </w:p>
        </w:tc>
        <w:tc>
          <w:tcPr>
            <w:tcW w:w="0" w:type="auto"/>
            <w:tcBorders>
              <w:top w:val="nil"/>
              <w:left w:val="nil"/>
              <w:bottom w:val="single" w:sz="4" w:space="0" w:color="auto"/>
              <w:right w:val="single" w:sz="4" w:space="0" w:color="auto"/>
            </w:tcBorders>
            <w:vAlign w:val="center"/>
            <w:hideMark/>
          </w:tcPr>
          <w:p w14:paraId="5B0755ED"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Se elimina "Revisar y autorizar" de Rodrigo; Camila agenda el retiro directamente</w:t>
            </w:r>
          </w:p>
        </w:tc>
        <w:tc>
          <w:tcPr>
            <w:tcW w:w="0" w:type="auto"/>
            <w:tcBorders>
              <w:top w:val="nil"/>
              <w:left w:val="nil"/>
              <w:bottom w:val="single" w:sz="4" w:space="0" w:color="auto"/>
              <w:right w:val="single" w:sz="4" w:space="0" w:color="auto"/>
            </w:tcBorders>
            <w:vAlign w:val="center"/>
            <w:hideMark/>
          </w:tcPr>
          <w:p w14:paraId="43785E68"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"BPR pregunta si el flujo debería existir" (Sesión 3)</w:t>
            </w:r>
          </w:p>
        </w:tc>
        <w:tc>
          <w:tcPr>
            <w:tcW w:w="0" w:type="auto"/>
            <w:tcBorders>
              <w:top w:val="nil"/>
              <w:left w:val="nil"/>
              <w:bottom w:val="single" w:sz="4" w:space="0" w:color="auto"/>
              <w:right w:val="single" w:sz="4" w:space="0" w:color="auto"/>
            </w:tcBorders>
            <w:vAlign w:val="center"/>
            <w:hideMark/>
          </w:tcPr>
          <w:p w14:paraId="7BCA988A" w14:textId="77777777" w:rsidR="00C87D43" w:rsidRPr="003B09B9" w:rsidRDefault="00C87D43" w:rsidP="00C503AC">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916,4 h ciclo/mes y $272.432/mes</w:t>
            </w:r>
          </w:p>
        </w:tc>
        <w:tc>
          <w:tcPr>
            <w:tcW w:w="0" w:type="auto"/>
            <w:tcBorders>
              <w:top w:val="nil"/>
              <w:left w:val="nil"/>
              <w:bottom w:val="single" w:sz="4" w:space="0" w:color="auto"/>
              <w:right w:val="single" w:sz="8" w:space="0" w:color="auto"/>
            </w:tcBorders>
            <w:vAlign w:val="center"/>
            <w:hideMark/>
          </w:tcPr>
          <w:p w14:paraId="264AE164"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Reingeniería</w:t>
            </w:r>
          </w:p>
        </w:tc>
      </w:tr>
      <w:tr w:rsidR="00C87D43" w:rsidRPr="00C87D43" w14:paraId="2D33C7B1" w14:textId="77777777" w:rsidTr="00C87D43">
        <w:trPr>
          <w:trHeight w:val="1500"/>
        </w:trPr>
        <w:tc>
          <w:tcPr>
            <w:tcW w:w="0" w:type="auto"/>
            <w:tcBorders>
              <w:top w:val="nil"/>
              <w:left w:val="single" w:sz="8" w:space="0" w:color="auto"/>
              <w:bottom w:val="single" w:sz="4" w:space="0" w:color="auto"/>
              <w:right w:val="single" w:sz="4" w:space="0" w:color="auto"/>
            </w:tcBorders>
            <w:noWrap/>
            <w:vAlign w:val="center"/>
            <w:hideMark/>
          </w:tcPr>
          <w:p w14:paraId="4CB6777C"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2</w:t>
            </w:r>
          </w:p>
        </w:tc>
        <w:tc>
          <w:tcPr>
            <w:tcW w:w="0" w:type="auto"/>
            <w:tcBorders>
              <w:top w:val="nil"/>
              <w:left w:val="nil"/>
              <w:bottom w:val="single" w:sz="4" w:space="0" w:color="auto"/>
              <w:right w:val="single" w:sz="4" w:space="0" w:color="auto"/>
            </w:tcBorders>
            <w:vAlign w:val="center"/>
            <w:hideMark/>
          </w:tcPr>
          <w:p w14:paraId="0F12A7CB"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Registro único (planilla+WMS+Finanzas); desaparece la revalidación de Sebastián y el 9% de reproceso</w:t>
            </w:r>
          </w:p>
        </w:tc>
        <w:tc>
          <w:tcPr>
            <w:tcW w:w="0" w:type="auto"/>
            <w:tcBorders>
              <w:top w:val="nil"/>
              <w:left w:val="nil"/>
              <w:bottom w:val="single" w:sz="4" w:space="0" w:color="auto"/>
              <w:right w:val="single" w:sz="4" w:space="0" w:color="auto"/>
            </w:tcBorders>
            <w:vAlign w:val="center"/>
            <w:hideMark/>
          </w:tcPr>
          <w:p w14:paraId="59BBBEC2"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"Captura única en origen" (Sesión 3)</w:t>
            </w:r>
          </w:p>
        </w:tc>
        <w:tc>
          <w:tcPr>
            <w:tcW w:w="0" w:type="auto"/>
            <w:tcBorders>
              <w:top w:val="nil"/>
              <w:left w:val="nil"/>
              <w:bottom w:val="single" w:sz="4" w:space="0" w:color="auto"/>
              <w:right w:val="single" w:sz="4" w:space="0" w:color="auto"/>
            </w:tcBorders>
            <w:vAlign w:val="center"/>
            <w:hideMark/>
          </w:tcPr>
          <w:p w14:paraId="1291F22B" w14:textId="77777777" w:rsidR="00C87D43" w:rsidRPr="003B09B9" w:rsidRDefault="00C87D43" w:rsidP="00C503AC">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1.243,1 h ciclo/mes y $267.702/mes</w:t>
            </w:r>
          </w:p>
        </w:tc>
        <w:tc>
          <w:tcPr>
            <w:tcW w:w="0" w:type="auto"/>
            <w:tcBorders>
              <w:top w:val="nil"/>
              <w:left w:val="nil"/>
              <w:bottom w:val="single" w:sz="4" w:space="0" w:color="auto"/>
              <w:right w:val="single" w:sz="8" w:space="0" w:color="auto"/>
            </w:tcBorders>
            <w:vAlign w:val="center"/>
            <w:hideMark/>
          </w:tcPr>
          <w:p w14:paraId="04041F5C"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Reingeniería</w:t>
            </w:r>
          </w:p>
        </w:tc>
      </w:tr>
      <w:tr w:rsidR="00C87D43" w:rsidRPr="00C87D43" w14:paraId="1CBA95A5" w14:textId="77777777" w:rsidTr="00C87D43">
        <w:trPr>
          <w:trHeight w:val="1200"/>
        </w:trPr>
        <w:tc>
          <w:tcPr>
            <w:tcW w:w="0" w:type="auto"/>
            <w:tcBorders>
              <w:top w:val="nil"/>
              <w:left w:val="single" w:sz="8" w:space="0" w:color="auto"/>
              <w:bottom w:val="single" w:sz="4" w:space="0" w:color="auto"/>
              <w:right w:val="single" w:sz="4" w:space="0" w:color="auto"/>
            </w:tcBorders>
            <w:noWrap/>
            <w:vAlign w:val="center"/>
            <w:hideMark/>
          </w:tcPr>
          <w:p w14:paraId="36809EC7"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3</w:t>
            </w:r>
          </w:p>
        </w:tc>
        <w:tc>
          <w:tcPr>
            <w:tcW w:w="0" w:type="auto"/>
            <w:tcBorders>
              <w:top w:val="nil"/>
              <w:left w:val="nil"/>
              <w:bottom w:val="single" w:sz="4" w:space="0" w:color="auto"/>
              <w:right w:val="single" w:sz="4" w:space="0" w:color="auto"/>
            </w:tcBorders>
            <w:vAlign w:val="center"/>
            <w:hideMark/>
          </w:tcPr>
          <w:p w14:paraId="7F580B16"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Reembolso diario en vez de lote semanal</w:t>
            </w:r>
          </w:p>
        </w:tc>
        <w:tc>
          <w:tcPr>
            <w:tcW w:w="0" w:type="auto"/>
            <w:tcBorders>
              <w:top w:val="nil"/>
              <w:left w:val="nil"/>
              <w:bottom w:val="single" w:sz="4" w:space="0" w:color="auto"/>
              <w:right w:val="single" w:sz="4" w:space="0" w:color="auto"/>
            </w:tcBorders>
            <w:vAlign w:val="center"/>
            <w:hideMark/>
          </w:tcPr>
          <w:p w14:paraId="6FAE402D"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"Lean/Kaizen mejora incrementalmente" (Sesión 3)</w:t>
            </w:r>
          </w:p>
        </w:tc>
        <w:tc>
          <w:tcPr>
            <w:tcW w:w="0" w:type="auto"/>
            <w:tcBorders>
              <w:top w:val="nil"/>
              <w:left w:val="nil"/>
              <w:bottom w:val="single" w:sz="4" w:space="0" w:color="auto"/>
              <w:right w:val="single" w:sz="4" w:space="0" w:color="auto"/>
            </w:tcBorders>
            <w:vAlign w:val="center"/>
            <w:hideMark/>
          </w:tcPr>
          <w:p w14:paraId="0AE101DA" w14:textId="77777777" w:rsidR="00C87D43" w:rsidRPr="003B09B9" w:rsidRDefault="00C87D43" w:rsidP="00C503AC">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10.699,2 h ciclo/mes y $0/mes</w:t>
            </w:r>
          </w:p>
        </w:tc>
        <w:tc>
          <w:tcPr>
            <w:tcW w:w="0" w:type="auto"/>
            <w:tcBorders>
              <w:top w:val="nil"/>
              <w:left w:val="nil"/>
              <w:bottom w:val="single" w:sz="4" w:space="0" w:color="auto"/>
              <w:right w:val="single" w:sz="8" w:space="0" w:color="auto"/>
            </w:tcBorders>
            <w:vAlign w:val="center"/>
            <w:hideMark/>
          </w:tcPr>
          <w:p w14:paraId="7510B347"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Mejora continua</w:t>
            </w:r>
          </w:p>
        </w:tc>
      </w:tr>
      <w:tr w:rsidR="00C87D43" w:rsidRPr="00C87D43" w14:paraId="2870EED5" w14:textId="77777777" w:rsidTr="00C87D43">
        <w:trPr>
          <w:trHeight w:val="900"/>
        </w:trPr>
        <w:tc>
          <w:tcPr>
            <w:tcW w:w="0" w:type="auto"/>
            <w:tcBorders>
              <w:top w:val="nil"/>
              <w:left w:val="single" w:sz="8" w:space="0" w:color="auto"/>
              <w:bottom w:val="single" w:sz="4" w:space="0" w:color="auto"/>
              <w:right w:val="single" w:sz="4" w:space="0" w:color="auto"/>
            </w:tcBorders>
            <w:noWrap/>
            <w:vAlign w:val="center"/>
            <w:hideMark/>
          </w:tcPr>
          <w:p w14:paraId="3D0B8F51"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4</w:t>
            </w:r>
          </w:p>
        </w:tc>
        <w:tc>
          <w:tcPr>
            <w:tcW w:w="0" w:type="auto"/>
            <w:tcBorders>
              <w:top w:val="nil"/>
              <w:left w:val="nil"/>
              <w:bottom w:val="single" w:sz="4" w:space="0" w:color="auto"/>
              <w:right w:val="single" w:sz="4" w:space="0" w:color="auto"/>
            </w:tcBorders>
            <w:vAlign w:val="center"/>
            <w:hideMark/>
          </w:tcPr>
          <w:p w14:paraId="7F85EEFD"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Ficha de bodega digitalizada a tablet</w:t>
            </w:r>
          </w:p>
        </w:tc>
        <w:tc>
          <w:tcPr>
            <w:tcW w:w="0" w:type="auto"/>
            <w:tcBorders>
              <w:top w:val="nil"/>
              <w:left w:val="nil"/>
              <w:bottom w:val="single" w:sz="4" w:space="0" w:color="auto"/>
              <w:right w:val="single" w:sz="4" w:space="0" w:color="auto"/>
            </w:tcBorders>
            <w:vAlign w:val="center"/>
            <w:hideMark/>
          </w:tcPr>
          <w:p w14:paraId="502E5493"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Ninguno; "no es automatizar lo existente"</w:t>
            </w:r>
          </w:p>
        </w:tc>
        <w:tc>
          <w:tcPr>
            <w:tcW w:w="0" w:type="auto"/>
            <w:tcBorders>
              <w:top w:val="nil"/>
              <w:left w:val="nil"/>
              <w:bottom w:val="single" w:sz="4" w:space="0" w:color="auto"/>
              <w:right w:val="single" w:sz="4" w:space="0" w:color="auto"/>
            </w:tcBorders>
            <w:vAlign w:val="center"/>
            <w:hideMark/>
          </w:tcPr>
          <w:p w14:paraId="1C6F5E33" w14:textId="77777777" w:rsidR="00C87D43" w:rsidRPr="003B09B9" w:rsidRDefault="00C87D43" w:rsidP="00C503AC">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Ninguna medible</w:t>
            </w:r>
          </w:p>
        </w:tc>
        <w:tc>
          <w:tcPr>
            <w:tcW w:w="0" w:type="auto"/>
            <w:tcBorders>
              <w:top w:val="nil"/>
              <w:left w:val="nil"/>
              <w:bottom w:val="single" w:sz="4" w:space="0" w:color="auto"/>
              <w:right w:val="single" w:sz="8" w:space="0" w:color="auto"/>
            </w:tcBorders>
            <w:vAlign w:val="center"/>
            <w:hideMark/>
          </w:tcPr>
          <w:p w14:paraId="777D9959"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Automatización superficial</w:t>
            </w:r>
          </w:p>
        </w:tc>
      </w:tr>
      <w:tr w:rsidR="00C87D43" w:rsidRPr="00C87D43" w14:paraId="585DA253" w14:textId="77777777" w:rsidTr="00C87D43">
        <w:trPr>
          <w:trHeight w:val="915"/>
        </w:trPr>
        <w:tc>
          <w:tcPr>
            <w:tcW w:w="0" w:type="auto"/>
            <w:tcBorders>
              <w:top w:val="nil"/>
              <w:left w:val="single" w:sz="8" w:space="0" w:color="auto"/>
              <w:bottom w:val="single" w:sz="8" w:space="0" w:color="auto"/>
              <w:right w:val="single" w:sz="4" w:space="0" w:color="auto"/>
            </w:tcBorders>
            <w:noWrap/>
            <w:vAlign w:val="center"/>
            <w:hideMark/>
          </w:tcPr>
          <w:p w14:paraId="0F8732D4" w14:textId="77777777" w:rsidR="00C87D43" w:rsidRPr="003B09B9" w:rsidRDefault="00C87D43" w:rsidP="00C87D43">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5</w:t>
            </w:r>
          </w:p>
        </w:tc>
        <w:tc>
          <w:tcPr>
            <w:tcW w:w="0" w:type="auto"/>
            <w:tcBorders>
              <w:top w:val="nil"/>
              <w:left w:val="nil"/>
              <w:bottom w:val="single" w:sz="8" w:space="0" w:color="auto"/>
              <w:right w:val="single" w:sz="4" w:space="0" w:color="auto"/>
            </w:tcBorders>
            <w:vAlign w:val="center"/>
            <w:hideMark/>
          </w:tcPr>
          <w:p w14:paraId="50B5B380"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Foto obligatoria en el formulario web</w:t>
            </w:r>
          </w:p>
        </w:tc>
        <w:tc>
          <w:tcPr>
            <w:tcW w:w="0" w:type="auto"/>
            <w:tcBorders>
              <w:top w:val="nil"/>
              <w:left w:val="nil"/>
              <w:bottom w:val="single" w:sz="8" w:space="0" w:color="auto"/>
              <w:right w:val="single" w:sz="4" w:space="0" w:color="auto"/>
            </w:tcBorders>
            <w:vAlign w:val="center"/>
            <w:hideMark/>
          </w:tcPr>
          <w:p w14:paraId="65B41016"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"Captura única en origen" (Sesión 3)</w:t>
            </w:r>
          </w:p>
        </w:tc>
        <w:tc>
          <w:tcPr>
            <w:tcW w:w="0" w:type="auto"/>
            <w:tcBorders>
              <w:top w:val="nil"/>
              <w:left w:val="nil"/>
              <w:bottom w:val="single" w:sz="8" w:space="0" w:color="auto"/>
              <w:right w:val="single" w:sz="4" w:space="0" w:color="auto"/>
            </w:tcBorders>
            <w:vAlign w:val="center"/>
            <w:hideMark/>
          </w:tcPr>
          <w:p w14:paraId="47DA0CFC" w14:textId="77777777" w:rsidR="00C87D43" w:rsidRPr="003B09B9" w:rsidRDefault="00C87D43" w:rsidP="00C503AC">
            <w:pPr>
              <w:spacing w:after="0" w:line="240" w:lineRule="auto"/>
              <w:jc w:val="center"/>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7.650,1 h ciclo/mes y $86.179/mes</w:t>
            </w:r>
          </w:p>
        </w:tc>
        <w:tc>
          <w:tcPr>
            <w:tcW w:w="0" w:type="auto"/>
            <w:tcBorders>
              <w:top w:val="nil"/>
              <w:left w:val="nil"/>
              <w:bottom w:val="single" w:sz="8" w:space="0" w:color="auto"/>
              <w:right w:val="single" w:sz="8" w:space="0" w:color="auto"/>
            </w:tcBorders>
            <w:vAlign w:val="center"/>
            <w:hideMark/>
          </w:tcPr>
          <w:p w14:paraId="1330F618" w14:textId="77777777" w:rsidR="00C87D43" w:rsidRPr="003B09B9" w:rsidRDefault="00C87D43" w:rsidP="00C503AC">
            <w:pPr>
              <w:spacing w:after="0" w:line="240" w:lineRule="auto"/>
              <w:jc w:val="both"/>
              <w:rPr>
                <w:rFonts w:ascii="Times New Roman" w:eastAsia="Times New Roman" w:hAnsi="Times New Roman" w:cs="Times New Roman"/>
                <w:color w:val="000000"/>
                <w:kern w:val="0"/>
                <w:lang w:eastAsia="es-CL"/>
                <w14:ligatures w14:val="none"/>
              </w:rPr>
            </w:pPr>
            <w:r>
              <w:rPr>
                <w:rFonts w:ascii="Times New Roman" w:eastAsia="Times New Roman" w:hAnsi="Times New Roman" w:cs="Times New Roman"/>
                <w:color w:val="000000"/>
                <w:kern w:val="0"/>
                <w:lang w:eastAsia="es-CL"/>
                <w14:ligatures w14:val="none"/>
              </w:rPr>
              <w:t>Reingeniería</w:t>
            </w:r>
          </w:p>
        </w:tc>
      </w:tr>
    </w:tbl>
    <w:p w14:paraId="1B293F6B" w14:textId="77777777" w:rsidR="00F45A55" w:rsidRDefault="00F45A55" w:rsidP="00F45A55">
      <w:pPr>
        <w:spacing w:line="360" w:lineRule="auto"/>
        <w:jc w:val="both"/>
        <w:rPr>
          <w:rFonts w:ascii="Times New Roman" w:hAnsi="Times New Roman" w:cs="Times New Roman"/>
        </w:rPr>
      </w:pPr>
    </w:p>
    <w:p w14:paraId="1872A99D" w14:textId="77777777" w:rsidR="002A5A5D" w:rsidRDefault="002A5A5D" w:rsidP="002A5A5D">
      <w:pPr>
        <w:spacing w:line="360" w:lineRule="auto"/>
        <w:jc w:val="center"/>
        <w:rPr>
          <w:rFonts w:ascii="Times New Roman" w:hAnsi="Times New Roman" w:cs="Times New Roman"/>
          <w:sz w:val="32"/>
          <w:szCs w:val="32"/>
        </w:rPr>
      </w:pPr>
      <w:r>
        <w:rPr>
          <w:rFonts w:ascii="Times New Roman" w:hAnsi="Times New Roman" w:cs="Times New Roman"/>
          <w:sz w:val="32"/>
          <w:szCs w:val="32"/>
        </w:rPr>
        <w:t>RESUMEN COMPARATIVO</w:t>
      </w:r>
    </w:p>
    <w:p w14:paraId="01E1B94A" w14:textId="77777777" w:rsidR="002A5A5D" w:rsidRPr="002A5A5D" w:rsidRDefault="002A5A5D" w:rsidP="00730A39">
      <w:pPr>
        <w:spacing w:line="360" w:lineRule="auto"/>
        <w:jc w:val="both"/>
        <w:rPr>
          <w:rFonts w:ascii="Times New Roman" w:hAnsi="Times New Roman" w:cs="Times New Roman"/>
        </w:rPr>
      </w:pPr>
      <w:r>
        <w:rPr>
          <w:rFonts w:ascii="Times New Roman" w:hAnsi="Times New Roman" w:cs="Times New Roman"/>
        </w:rPr>
        <w:t xml:space="preserve">A partir del rediseño propuesto se recalcularon los mismos indicadores obtenidos en la Parte B, esta vez sobre el proceso TO-BE. El tiempo de ciclo promedio ponderado se redujo de 202,5 a 107,1 horas (una caída de 47,1%), lo que equivale a pasar de 8,44 a 4,46 días de espera para el cliente. El costo esperado por solicitud bajó de $14.301 a $11.388 y, considerando el volumen mensual de la empresa (V = 215 solicitudes), el costo mensual del proceso pasó de $3.074.768 a $2.448.455, con un ahorro de $626.313 al mes. El índice de eficiencia del ciclo subió de 0,75% a 1,13%. Además, al comparar el aporte de cada cambio por separado se encontró que la mayor parte de la reducción no proviene del ahorro en horas-persona sino de la eliminación de esperas: los cambios 3 y 5 (lote diario de reembolso y </w:t>
      </w:r>
      <w:r>
        <w:rPr>
          <w:rFonts w:ascii="Times New Roman" w:hAnsi="Times New Roman" w:cs="Times New Roman"/>
        </w:rPr>
        <w:lastRenderedPageBreak/>
        <w:t>captura de la foto en el formulario inicial) aportan por sí solos 18.349 de las 20.509 horas de ciclo ahorradas al mes, pese a que su impacto en costo directo es marginal o nulo. Esto confirma el diagnóstico de la Parte B, donde el problema de AndesHogar no es cuánto trabaja su personal sino cuánto tiempo permanece cada caso detenido entre una actividad y la siguiente.</w:t>
      </w:r>
    </w:p>
    <w:p w14:paraId="4B8E09C6" w14:textId="77777777" w:rsidR="002A5A5D" w:rsidRPr="002A5A5D" w:rsidRDefault="002A5A5D" w:rsidP="00730A39">
      <w:pPr>
        <w:spacing w:line="360" w:lineRule="auto"/>
        <w:jc w:val="both"/>
        <w:rPr>
          <w:rFonts w:ascii="Times New Roman" w:hAnsi="Times New Roman" w:cs="Times New Roman"/>
          <w:sz w:val="32"/>
          <w:szCs w:val="32"/>
        </w:rPr>
      </w:pPr>
      <w:r>
        <w:rPr>
          <w:rFonts w:ascii="Times New Roman" w:hAnsi="Times New Roman" w:cs="Times New Roman"/>
        </w:rPr>
        <w:t>Por último, cabe señalar que el índice de eficiencia del ciclo se mantiene bajo el 2%, por lo que el proceso rediseñado sigue estando dominado por tiempos de espera. Las esperas restantes de mayor peso corresponden al traslado del courier (72 h) y al reacondicionamiento en taller (120 h), las cuales dependen de terceros o de trabajo físico irreducible y por lo tanto quedan fuera del alcance de este rediseño.</w:t>
      </w:r>
    </w:p>
    <w:p w14:paraId="2319CC1F" w14:textId="77777777" w:rsidR="002A5A5D" w:rsidRDefault="00730A39" w:rsidP="002A5A5D">
      <w:pPr>
        <w:spacing w:line="360" w:lineRule="auto"/>
        <w:jc w:val="center"/>
        <w:rPr>
          <w:rFonts w:ascii="Times New Roman" w:hAnsi="Times New Roman" w:cs="Times New Roman"/>
          <w:sz w:val="32"/>
          <w:szCs w:val="32"/>
        </w:rPr>
      </w:pPr>
      <w:r>
        <w:rPr>
          <w:rFonts w:ascii="Times New Roman" w:hAnsi="Times New Roman" w:cs="Times New Roman"/>
          <w:sz w:val="32"/>
          <w:szCs w:val="32"/>
        </w:rPr>
        <w:t>KPIs DEL PROCESO</w:t>
      </w:r>
    </w:p>
    <w:p w14:paraId="2FB88DEA" w14:textId="77777777" w:rsidR="00D177B3" w:rsidRDefault="0048680F" w:rsidP="00536DC4">
      <w:pPr>
        <w:spacing w:line="360" w:lineRule="auto"/>
        <w:jc w:val="both"/>
        <w:rPr>
          <w:rFonts w:ascii="Times New Roman" w:hAnsi="Times New Roman" w:cs="Times New Roman"/>
        </w:rPr>
      </w:pPr>
      <w:r>
        <w:rPr>
          <w:rFonts w:ascii="Times New Roman" w:hAnsi="Times New Roman" w:cs="Times New Roman"/>
        </w:rPr>
        <w:t>KPI 1. Tiempo de ciclo promedio de la devolución: Mide tiempo por lo que tiene unidad de horas, usa de fuente los timestamps del sistema unificado, con frecuencia mensual y con la meta de estar bajo a las 110 horas.</w:t>
      </w:r>
    </w:p>
    <w:p w14:paraId="56291CE1" w14:textId="77777777" w:rsidR="00C237BD" w:rsidRPr="00CE4A63" w:rsidRDefault="00000000" w:rsidP="00536DC4">
      <w:pPr>
        <w:spacing w:line="360" w:lineRule="auto"/>
        <w:jc w:val="both"/>
        <w:rPr>
          <w:rFonts w:ascii="Times New Roman" w:eastAsiaTheme="minorEastAsia" w:hAnsi="Times New Roman" w:cs="Times New Roman"/>
        </w:rPr>
      </w:pPr>
      <m:oMathPara>
        <m:oMath>
          <m:f>
            <m:fPr>
              <m:ctrlPr>
                <w:rPr>
                  <w:rFonts w:ascii="Cambria Math" w:hAnsi="Cambria Math" w:cs="Times New Roman"/>
                  <w:i/>
                </w:rPr>
              </m:ctrlPr>
            </m:fPr>
            <m:num>
              <m:nary>
                <m:naryPr>
                  <m:chr m:val="∑"/>
                  <m:grow m:val="1"/>
                  <m:subHide m:val="1"/>
                  <m:supHide m:val="1"/>
                  <m:ctrlPr>
                    <w:rPr>
                      <w:rFonts w:ascii="Cambria Math" w:hAnsi="Cambria Math" w:cs="Times New Roman"/>
                      <w:i/>
                    </w:rPr>
                  </m:ctrlPr>
                </m:naryPr>
                <m:sub/>
                <m:sup/>
                <m:e>
                  <m:d>
                    <m:dPr>
                      <m:ctrlPr>
                        <w:rPr>
                          <w:rFonts w:ascii="Cambria Math" w:hAnsi="Cambria Math" w:cs="Times New Roman"/>
                          <w:i/>
                        </w:rPr>
                      </m:ctrlPr>
                    </m:dPr>
                    <m:e>
                      <m:r>
                        <w:rPr>
                          <w:rFonts w:ascii="Cambria Math" w:hAnsi="Cambria Math" w:cs="Times New Roman"/>
                        </w:rPr>
                        <m:t>fecha y hora de cierre-fecha y hora de solicitud</m:t>
                      </m:r>
                    </m:e>
                  </m:d>
                </m:e>
              </m:nary>
            </m:num>
            <m:den>
              <m:r>
                <w:rPr>
                  <w:rFonts w:ascii="Cambria Math" w:hAnsi="Cambria Math" w:cs="Times New Roman"/>
                </w:rPr>
                <m:t>Numero de solicitudes cerradas en el periodo</m:t>
              </m:r>
            </m:den>
          </m:f>
        </m:oMath>
      </m:oMathPara>
    </w:p>
    <w:p w14:paraId="0245B989" w14:textId="77777777" w:rsidR="00CE4A63" w:rsidRDefault="00CE4A63" w:rsidP="00536DC4">
      <w:pPr>
        <w:spacing w:line="360" w:lineRule="auto"/>
        <w:jc w:val="both"/>
        <w:rPr>
          <w:rFonts w:ascii="Times New Roman" w:eastAsiaTheme="minorEastAsia" w:hAnsi="Times New Roman" w:cs="Times New Roman"/>
        </w:rPr>
      </w:pPr>
      <w:r>
        <w:rPr>
          <w:rFonts w:ascii="Times New Roman" w:eastAsiaTheme="minorEastAsia" w:hAnsi="Times New Roman" w:cs="Times New Roman"/>
        </w:rPr>
        <w:t>KPI 2. Tasa de casos resueltos sin corrección: Mide calidad por lo que tiene unidad de porcentaje, usa de fuente el registro de emisión del sistema unificado (emisión directa vs emisión con corrección), se hace con frecuencia mensual y tiene la meta de estar sobre el 98%.</w:t>
      </w:r>
    </w:p>
    <w:p w14:paraId="47EB6F6C" w14:textId="77777777" w:rsidR="00D22337" w:rsidRPr="00CE4A63" w:rsidRDefault="00000000" w:rsidP="00536DC4">
      <w:pPr>
        <w:spacing w:line="360" w:lineRule="auto"/>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Solicitudes cerradas</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correccion posterior al registro de inspeccion</m:t>
                  </m:r>
                </m:e>
              </m:func>
            </m:num>
            <m:den>
              <m:r>
                <w:rPr>
                  <w:rFonts w:ascii="Cambria Math" w:hAnsi="Cambria Math" w:cs="Times New Roman"/>
                </w:rPr>
                <m:t>Total de solicitudes cerradas</m:t>
              </m:r>
            </m:den>
          </m:f>
          <m:r>
            <w:rPr>
              <w:rFonts w:ascii="Cambria Math" w:hAnsi="Cambria Math" w:cs="Times New Roman"/>
            </w:rPr>
            <m:t>×100</m:t>
          </m:r>
        </m:oMath>
      </m:oMathPara>
    </w:p>
    <w:p w14:paraId="2E1E53FC" w14:textId="77777777" w:rsidR="00D22337" w:rsidRPr="0048680F" w:rsidRDefault="00331FBB" w:rsidP="00536DC4">
      <w:pPr>
        <w:spacing w:line="360" w:lineRule="auto"/>
        <w:jc w:val="both"/>
        <w:rPr>
          <w:rFonts w:ascii="Times New Roman" w:hAnsi="Times New Roman" w:cs="Times New Roman"/>
        </w:rPr>
      </w:pPr>
      <w:r>
        <w:rPr>
          <w:rFonts w:ascii="Times New Roman" w:hAnsi="Times New Roman" w:cs="Times New Roman"/>
        </w:rPr>
        <w:t>KPI 3. Cumplimiento de la promesa de reembolso: Mide calidad (o experiencia del cliente) por lo que tiene unidad de porcentaje, usa los mismos timestamps y frecuencia que el primer KPI, pero con un enfoque distinto, buscando cuantas solicitudes fueron cerradas en el periodo en respecto a cuantas fueron admitidas en el proceso. Tiene la meta de estar sobre el 90%.</w:t>
      </w:r>
    </w:p>
    <w:p w14:paraId="169C0682" w14:textId="3F2C5BC3" w:rsidR="00AC6E0F" w:rsidRDefault="00000000" w:rsidP="00536DC4">
      <w:pPr>
        <w:spacing w:line="360" w:lineRule="auto"/>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Solicitudes admisibles con reembolso emitido en el periodo</m:t>
              </m:r>
            </m:num>
            <m:den>
              <m:r>
                <w:rPr>
                  <w:rFonts w:ascii="Cambria Math" w:hAnsi="Cambria Math" w:cs="Times New Roman"/>
                </w:rPr>
                <m:t>Total de solicitudes admisibles cerradas en el periodo</m:t>
              </m:r>
            </m:den>
          </m:f>
          <m:r>
            <w:rPr>
              <w:rFonts w:ascii="Cambria Math" w:hAnsi="Cambria Math" w:cs="Times New Roman"/>
            </w:rPr>
            <m:t>×100</m:t>
          </m:r>
        </m:oMath>
      </m:oMathPara>
    </w:p>
    <w:p w14:paraId="7AB2719B" w14:textId="77777777" w:rsidR="00AC6E0F" w:rsidRPr="00AC6E0F" w:rsidRDefault="00AC6E0F" w:rsidP="00AC6E0F">
      <w:pPr>
        <w:spacing w:line="360" w:lineRule="auto"/>
        <w:jc w:val="center"/>
        <w:rPr>
          <w:rFonts w:ascii="Times New Roman" w:eastAsiaTheme="minorEastAsia" w:hAnsi="Times New Roman" w:cs="Times New Roman"/>
          <w:sz w:val="32"/>
          <w:szCs w:val="32"/>
        </w:rPr>
      </w:pPr>
      <w:r>
        <w:rPr>
          <w:rFonts w:ascii="Times New Roman" w:eastAsiaTheme="minorEastAsia" w:hAnsi="Times New Roman" w:cs="Times New Roman"/>
          <w:sz w:val="32"/>
          <w:szCs w:val="32"/>
        </w:rPr>
        <w:lastRenderedPageBreak/>
        <w:t>¿QUÉ AUTOMATIZAR PRIMERO?</w:t>
      </w:r>
    </w:p>
    <w:p w14:paraId="2ABD32FB" w14:textId="77777777" w:rsidR="004E45B4" w:rsidRPr="004E45B4" w:rsidRDefault="004E45B4" w:rsidP="004E45B4">
      <w:pPr>
        <w:spacing w:line="360" w:lineRule="auto"/>
        <w:jc w:val="both"/>
        <w:rPr>
          <w:rFonts w:ascii="Times New Roman" w:hAnsi="Times New Roman" w:cs="Times New Roman"/>
        </w:rPr>
      </w:pPr>
      <w:r>
        <w:rPr>
          <w:rFonts w:ascii="Times New Roman" w:hAnsi="Times New Roman" w:cs="Times New Roman"/>
        </w:rPr>
        <w:t>Se propone automatizar como primera prioridad el subproceso de admisión de la solicitud, es decir, las tareas "Registrar solicitud" y "Verificar boleta y plazo" que hoy realiza el ejecutivo de nivel 1 (Camila). Los criterios utilizados para esta elección fueron la frecuencia del subproceso, la existencia de una regla de decisión escrita, la disponibilidad de interfaz en ambos extremos, el impacto medido en la Parte B y el riesgo de error.</w:t>
      </w:r>
    </w:p>
    <w:p w14:paraId="3759A1C6" w14:textId="77777777" w:rsidR="004E45B4" w:rsidRPr="004E45B4" w:rsidRDefault="004E45B4" w:rsidP="004E45B4">
      <w:pPr>
        <w:spacing w:line="360" w:lineRule="auto"/>
        <w:jc w:val="both"/>
        <w:rPr>
          <w:rFonts w:ascii="Times New Roman" w:hAnsi="Times New Roman" w:cs="Times New Roman"/>
        </w:rPr>
      </w:pPr>
      <w:r>
        <w:rPr>
          <w:rFonts w:ascii="Times New Roman" w:hAnsi="Times New Roman" w:cs="Times New Roman"/>
        </w:rPr>
        <w:t>En cuanto a frecuencia, este subproceso es el único que se ejecuta sobre el 100% del volumen (215 solicitudes al mes), incluidas las 55,9 que se rechazan por plazo y que actualmente consumen trabajo antes de ser descartadas. Respecto a la regla de decisión, ambas condiciones están escritas y son deterministas: la solicitud es admisible si la compra tiene a lo más D = 15 días corridos, y requiere autorización gerencial si la boleta supera U = $55.000. No hay juicio profesional involucrado, solo comparación de dos campos. Sobre la interfaz, los dos extremos ya existen en el TO-BE: el formulario web entrega la fecha y el número de boleta, y el ERP contiene la boleta contra la cual validar, por lo que no se requiere digitación intermedia. En cuanto al impacto, este subproceso representa 71,7 horas-persona al mes y $465.833 mensuales, el mayor de todo el proceso rediseñado, además de 1.290 horas de ciclo al mes en esperas asociadas. Finalmente, respecto al riesgo de error, es precisamente la desconfianza en este paso lo que originó los dos controles redundantes que el TO-BE eliminó (la revisión de Rodrigo y la revalidación de Sebastián), por lo que automatizarlo consolida esos cambios en vez de dejarlos apoyados solo en la buena voluntad de las personas.</w:t>
      </w:r>
    </w:p>
    <w:p w14:paraId="049FF390" w14:textId="77777777" w:rsidR="004E45B4" w:rsidRPr="004E45B4" w:rsidRDefault="004E45B4" w:rsidP="004E45B4">
      <w:pPr>
        <w:spacing w:line="360" w:lineRule="auto"/>
        <w:jc w:val="both"/>
        <w:rPr>
          <w:rFonts w:ascii="Times New Roman" w:hAnsi="Times New Roman" w:cs="Times New Roman"/>
        </w:rPr>
      </w:pPr>
      <w:r>
        <w:rPr>
          <w:rFonts w:ascii="Times New Roman" w:hAnsi="Times New Roman" w:cs="Times New Roman"/>
        </w:rPr>
        <w:t xml:space="preserve">Se descartaron los siguientes candidatos. La emisión del reembolso (148,6 casos al mes, $318.993 mensuales) es el segundo en impacto y tiene interfaz disponible con la pasarela de pago, pero se descarta como primera prioridad porque involucra una transferencia de dinero: automatizarla sin haber asegurado primero la calidad del dato de entrada trasladaría cualquier error de admisión directamente a un pago mal emitido lo cual es un gran peligro. Su automatización tiene sentido como segunda etapa, una vez estabilizado el subproceso de admisión. La solicitud de aprobación gerencial se descarta porque, si bien la regla de enrutamiento es automatizable, su costo es el menor de los candidatos ($85.317 mensuales) y la espera relevante de 48 horas corresponde al tiempo de respuesta del gerente, que es una decisión humana y no se acorta digitalizando el envío del correo. La inspección en bodega </w:t>
      </w:r>
      <w:r>
        <w:rPr>
          <w:rFonts w:ascii="Times New Roman" w:hAnsi="Times New Roman" w:cs="Times New Roman"/>
        </w:rPr>
        <w:lastRenderedPageBreak/>
        <w:t>se descarta también porque no existe interfaz posible en el extremo físico: el operario debe manipular el producto para determinar si está sin daño, es reparable o debe darse de baja, de modo que solo sería digitalizable el registro del resultado, que es justamente el cambio ya clasificado como automatización superficial en la Parte C.</w:t>
      </w:r>
    </w:p>
    <w:p w14:paraId="074F8B7F" w14:textId="77777777" w:rsidR="000E194A" w:rsidRDefault="000E194A">
      <w:pPr>
        <w:sectPr w:rsidR="000E194A">
          <w:headerReference w:type="default" r:id="rId12"/>
          <w:footerReference w:type="default" r:id="rId13"/>
          <w:pgSz w:w="12240" w:h="15840"/>
          <w:pgMar w:top="1417" w:right="1701" w:bottom="1417" w:left="1701" w:header="708" w:footer="708" w:gutter="0"/>
          <w:cols w:space="708"/>
          <w:docGrid w:linePitch="360"/>
        </w:sectPr>
      </w:pPr>
    </w:p>
    <w:p w14:paraId="11A732C0" w14:textId="77777777" w:rsidR="00FE4496" w:rsidRDefault="00FE4496" w:rsidP="003E0998">
      <w:pPr>
        <w:spacing w:line="360" w:lineRule="auto"/>
        <w:jc w:val="center"/>
        <w:rPr>
          <w:rFonts w:ascii="Times New Roman" w:hAnsi="Times New Roman" w:cs="Times New Roman"/>
          <w:sz w:val="32"/>
          <w:szCs w:val="32"/>
        </w:rPr>
      </w:pPr>
      <w:r>
        <w:rPr>
          <w:rFonts w:ascii="Times New Roman" w:hAnsi="Times New Roman" w:cs="Times New Roman"/>
          <w:sz w:val="32"/>
          <w:szCs w:val="32"/>
        </w:rPr>
        <w:lastRenderedPageBreak/>
        <w:t>DIAGRAMAS</w:t>
      </w:r>
    </w:p>
    <w:p w14:paraId="56529849" w14:textId="77777777" w:rsidR="000E194A" w:rsidRDefault="00000000">
      <w:pPr>
        <w:spacing w:line="360" w:lineRule="auto"/>
        <w:rPr>
          <w:rFonts w:ascii="Times New Roman" w:hAnsi="Times New Roman" w:cs="Times New Roman"/>
          <w:b/>
        </w:rPr>
      </w:pPr>
      <w:r>
        <w:rPr>
          <w:rFonts w:ascii="Times New Roman" w:hAnsi="Times New Roman" w:cs="Times New Roman"/>
          <w:b/>
        </w:rPr>
        <w:t>BPMN AS-IS</w:t>
      </w:r>
    </w:p>
    <w:p w14:paraId="39A90CA0" w14:textId="0994208D" w:rsidR="000E194A" w:rsidRDefault="00486EBE">
      <w:pPr>
        <w:spacing w:line="240" w:lineRule="auto"/>
        <w:jc w:val="center"/>
        <w:rPr>
          <w:rFonts w:ascii="Times New Roman" w:hAnsi="Times New Roman" w:cs="Times New Roman"/>
        </w:rPr>
      </w:pPr>
      <w:r w:rsidRPr="00486EBE">
        <w:rPr>
          <w:noProof/>
        </w:rPr>
        <w:drawing>
          <wp:inline distT="0" distB="0" distL="0" distR="0" wp14:anchorId="07F97BB4" wp14:editId="4BA1645D">
            <wp:extent cx="8618220" cy="2847340"/>
            <wp:effectExtent l="0" t="0" r="0" b="0"/>
            <wp:docPr id="48778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6814" name=""/>
                    <pic:cNvPicPr/>
                  </pic:nvPicPr>
                  <pic:blipFill>
                    <a:blip r:embed="rId14"/>
                    <a:stretch>
                      <a:fillRect/>
                    </a:stretch>
                  </pic:blipFill>
                  <pic:spPr>
                    <a:xfrm>
                      <a:off x="0" y="0"/>
                      <a:ext cx="8618220" cy="2847340"/>
                    </a:xfrm>
                    <a:prstGeom prst="rect">
                      <a:avLst/>
                    </a:prstGeom>
                  </pic:spPr>
                </pic:pic>
              </a:graphicData>
            </a:graphic>
          </wp:inline>
        </w:drawing>
      </w:r>
    </w:p>
    <w:p w14:paraId="25562361" w14:textId="77777777" w:rsidR="000E194A" w:rsidRDefault="00000000">
      <w:pPr>
        <w:spacing w:line="360" w:lineRule="auto"/>
        <w:rPr>
          <w:rFonts w:ascii="Times New Roman" w:hAnsi="Times New Roman" w:cs="Times New Roman"/>
          <w:b/>
        </w:rPr>
      </w:pPr>
      <w:r>
        <w:br w:type="page"/>
      </w:r>
      <w:r>
        <w:rPr>
          <w:rFonts w:ascii="Times New Roman" w:hAnsi="Times New Roman" w:cs="Times New Roman"/>
          <w:b/>
        </w:rPr>
        <w:lastRenderedPageBreak/>
        <w:t>BPMN TO-BE</w:t>
      </w:r>
    </w:p>
    <w:p w14:paraId="7497FE20" w14:textId="4116A013" w:rsidR="000E194A" w:rsidRDefault="00486EBE">
      <w:pPr>
        <w:spacing w:line="240" w:lineRule="auto"/>
        <w:jc w:val="center"/>
        <w:rPr>
          <w:rFonts w:ascii="Times New Roman" w:hAnsi="Times New Roman" w:cs="Times New Roman"/>
        </w:rPr>
      </w:pPr>
      <w:r w:rsidRPr="00486EBE">
        <w:rPr>
          <w:noProof/>
        </w:rPr>
        <w:drawing>
          <wp:inline distT="0" distB="0" distL="0" distR="0" wp14:anchorId="5254E0B3" wp14:editId="20E30A80">
            <wp:extent cx="8618220" cy="2894330"/>
            <wp:effectExtent l="0" t="0" r="0" b="1270"/>
            <wp:docPr id="18060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9415" name=""/>
                    <pic:cNvPicPr/>
                  </pic:nvPicPr>
                  <pic:blipFill>
                    <a:blip r:embed="rId15"/>
                    <a:stretch>
                      <a:fillRect/>
                    </a:stretch>
                  </pic:blipFill>
                  <pic:spPr>
                    <a:xfrm>
                      <a:off x="0" y="0"/>
                      <a:ext cx="8618220" cy="2894330"/>
                    </a:xfrm>
                    <a:prstGeom prst="rect">
                      <a:avLst/>
                    </a:prstGeom>
                  </pic:spPr>
                </pic:pic>
              </a:graphicData>
            </a:graphic>
          </wp:inline>
        </w:drawing>
      </w:r>
    </w:p>
    <w:p w14:paraId="05FD132E" w14:textId="77777777" w:rsidR="00A347DE" w:rsidRPr="003E0998" w:rsidRDefault="00A347DE" w:rsidP="00365DF8">
      <w:pPr>
        <w:spacing w:line="360" w:lineRule="auto"/>
        <w:jc w:val="both"/>
        <w:rPr>
          <w:rFonts w:ascii="Times New Roman" w:hAnsi="Times New Roman" w:cs="Times New Roman"/>
        </w:rPr>
      </w:pPr>
    </w:p>
    <w:sectPr w:rsidR="00A347DE" w:rsidRPr="003E0998">
      <w:headerReference w:type="default" r:id="rId16"/>
      <w:footerReference w:type="default" r:id="rId17"/>
      <w:pgSz w:w="15840" w:h="12240" w:orient="landscape"/>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FB6D" w14:textId="77777777" w:rsidR="001C6303" w:rsidRDefault="001C6303" w:rsidP="000B107E">
      <w:pPr>
        <w:spacing w:after="0" w:line="240" w:lineRule="auto"/>
      </w:pPr>
      <w:r>
        <w:separator/>
      </w:r>
    </w:p>
  </w:endnote>
  <w:endnote w:type="continuationSeparator" w:id="0">
    <w:p w14:paraId="04F8DE7B" w14:textId="77777777" w:rsidR="001C6303" w:rsidRDefault="001C6303" w:rsidP="000B1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45504"/>
      <w:docPartObj>
        <w:docPartGallery w:val="Page Numbers (Bottom of Page)"/>
        <w:docPartUnique/>
      </w:docPartObj>
    </w:sdtPr>
    <w:sdtEndPr>
      <w:rPr>
        <w:rFonts w:ascii="Times New Roman" w:hAnsi="Times New Roman" w:cs="Times New Roman"/>
      </w:rPr>
    </w:sdtEndPr>
    <w:sdtContent>
      <w:p w14:paraId="5D29FF52" w14:textId="77777777" w:rsidR="000B107E" w:rsidRPr="000B107E" w:rsidRDefault="000B107E">
        <w:pPr>
          <w:pStyle w:val="Piedepgina"/>
          <w:jc w:val="center"/>
          <w:rPr>
            <w:rFonts w:ascii="Times New Roman" w:hAnsi="Times New Roman" w:cs="Times New Roman"/>
          </w:rPr>
        </w:pPr>
        <w:r w:rsidRPr="000B107E">
          <w:rPr>
            <w:rFonts w:ascii="Times New Roman" w:hAnsi="Times New Roman" w:cs="Times New Roman"/>
          </w:rPr>
          <w:fldChar w:fldCharType="begin"/>
        </w:r>
        <w:r w:rsidRPr="000B107E">
          <w:rPr>
            <w:rFonts w:ascii="Times New Roman" w:hAnsi="Times New Roman" w:cs="Times New Roman"/>
          </w:rPr>
          <w:instrText>PAGE   \* MERGEFORMAT</w:instrText>
        </w:r>
        <w:r w:rsidRPr="000B107E">
          <w:rPr>
            <w:rFonts w:ascii="Times New Roman" w:hAnsi="Times New Roman" w:cs="Times New Roman"/>
          </w:rPr>
          <w:fldChar w:fldCharType="separate"/>
        </w:r>
        <w:r w:rsidRPr="000B107E">
          <w:rPr>
            <w:rFonts w:ascii="Times New Roman" w:hAnsi="Times New Roman" w:cs="Times New Roman"/>
            <w:lang w:val="es-ES"/>
          </w:rPr>
          <w:t>2</w:t>
        </w:r>
        <w:r w:rsidRPr="000B107E">
          <w:rPr>
            <w:rFonts w:ascii="Times New Roman" w:hAnsi="Times New Roman" w:cs="Times New Roman"/>
          </w:rPr>
          <w:fldChar w:fldCharType="end"/>
        </w:r>
      </w:p>
    </w:sdtContent>
  </w:sdt>
  <w:p w14:paraId="2F34D53E" w14:textId="77777777" w:rsidR="000B107E" w:rsidRDefault="000B10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155827"/>
      <w:docPartObj>
        <w:docPartGallery w:val="Page Numbers (Bottom of Page)"/>
        <w:docPartUnique/>
      </w:docPartObj>
    </w:sdtPr>
    <w:sdtEndPr>
      <w:rPr>
        <w:rFonts w:ascii="Times New Roman" w:hAnsi="Times New Roman" w:cs="Times New Roman"/>
      </w:rPr>
    </w:sdtEndPr>
    <w:sdtContent>
      <w:p w14:paraId="23FD7A58" w14:textId="77777777" w:rsidR="000B107E" w:rsidRPr="000B107E" w:rsidRDefault="000B107E">
        <w:pPr>
          <w:pStyle w:val="Piedepgina"/>
          <w:jc w:val="center"/>
          <w:rPr>
            <w:rFonts w:ascii="Times New Roman" w:hAnsi="Times New Roman" w:cs="Times New Roman"/>
          </w:rPr>
        </w:pPr>
        <w:r w:rsidRPr="000B107E">
          <w:rPr>
            <w:rFonts w:ascii="Times New Roman" w:hAnsi="Times New Roman" w:cs="Times New Roman"/>
          </w:rPr>
          <w:fldChar w:fldCharType="begin"/>
        </w:r>
        <w:r w:rsidRPr="000B107E">
          <w:rPr>
            <w:rFonts w:ascii="Times New Roman" w:hAnsi="Times New Roman" w:cs="Times New Roman"/>
          </w:rPr>
          <w:instrText>PAGE   \* MERGEFORMAT</w:instrText>
        </w:r>
        <w:r w:rsidRPr="000B107E">
          <w:rPr>
            <w:rFonts w:ascii="Times New Roman" w:hAnsi="Times New Roman" w:cs="Times New Roman"/>
          </w:rPr>
          <w:fldChar w:fldCharType="separate"/>
        </w:r>
        <w:r w:rsidRPr="000B107E">
          <w:rPr>
            <w:rFonts w:ascii="Times New Roman" w:hAnsi="Times New Roman" w:cs="Times New Roman"/>
            <w:lang w:val="es-ES"/>
          </w:rPr>
          <w:t>2</w:t>
        </w:r>
        <w:r w:rsidRPr="000B107E">
          <w:rPr>
            <w:rFonts w:ascii="Times New Roman" w:hAnsi="Times New Roman" w:cs="Times New Roman"/>
          </w:rPr>
          <w:fldChar w:fldCharType="end"/>
        </w:r>
      </w:p>
    </w:sdtContent>
  </w:sdt>
  <w:p w14:paraId="4E4B5118" w14:textId="77777777" w:rsidR="000B107E" w:rsidRDefault="000B10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3410" w14:textId="77777777" w:rsidR="001C6303" w:rsidRDefault="001C6303" w:rsidP="000B107E">
      <w:pPr>
        <w:spacing w:after="0" w:line="240" w:lineRule="auto"/>
      </w:pPr>
      <w:r>
        <w:separator/>
      </w:r>
    </w:p>
  </w:footnote>
  <w:footnote w:type="continuationSeparator" w:id="0">
    <w:p w14:paraId="4C07AA3D" w14:textId="77777777" w:rsidR="001C6303" w:rsidRDefault="001C6303" w:rsidP="000B1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9788" w14:textId="77777777" w:rsidR="000B107E" w:rsidRDefault="000B107E">
    <w:pPr>
      <w:pStyle w:val="Encabezado"/>
    </w:pPr>
    <w:r>
      <w:rPr>
        <w:noProof/>
      </w:rPr>
      <w:drawing>
        <wp:anchor distT="0" distB="0" distL="114300" distR="114300" simplePos="0" relativeHeight="251658240" behindDoc="1" locked="0" layoutInCell="1" allowOverlap="1" wp14:anchorId="08DD94EF" wp14:editId="57BC5502">
          <wp:simplePos x="0" y="0"/>
          <wp:positionH relativeFrom="column">
            <wp:posOffset>-790575</wp:posOffset>
          </wp:positionH>
          <wp:positionV relativeFrom="page">
            <wp:posOffset>277495</wp:posOffset>
          </wp:positionV>
          <wp:extent cx="1993900" cy="293061"/>
          <wp:effectExtent l="0" t="0" r="6350" b="0"/>
          <wp:wrapNone/>
          <wp:docPr id="2049723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3168" name="Picture 204972316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900" cy="293061"/>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7F43" w14:textId="77777777" w:rsidR="000B107E" w:rsidRDefault="000B107E">
    <w:pPr>
      <w:pStyle w:val="Encabezado"/>
    </w:pPr>
    <w:r>
      <w:rPr>
        <w:noProof/>
      </w:rPr>
      <w:drawing>
        <wp:anchor distT="0" distB="0" distL="114300" distR="114300" simplePos="0" relativeHeight="251657216" behindDoc="1" locked="0" layoutInCell="1" allowOverlap="1" wp14:anchorId="08DD94EF" wp14:editId="57BC5502">
          <wp:simplePos x="0" y="0"/>
          <wp:positionH relativeFrom="column">
            <wp:posOffset>-790575</wp:posOffset>
          </wp:positionH>
          <wp:positionV relativeFrom="page">
            <wp:posOffset>277495</wp:posOffset>
          </wp:positionV>
          <wp:extent cx="1993900" cy="293061"/>
          <wp:effectExtent l="0" t="0" r="6350" b="0"/>
          <wp:wrapNone/>
          <wp:docPr id="715517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3168" name="Picture 204972316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900" cy="29306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E88"/>
    <w:multiLevelType w:val="multilevel"/>
    <w:tmpl w:val="AF9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A2892"/>
    <w:multiLevelType w:val="hybridMultilevel"/>
    <w:tmpl w:val="45BA75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96584630">
    <w:abstractNumId w:val="1"/>
  </w:num>
  <w:num w:numId="2" w16cid:durableId="132909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7E"/>
    <w:rsid w:val="000122CF"/>
    <w:rsid w:val="000172FC"/>
    <w:rsid w:val="00022976"/>
    <w:rsid w:val="0002702D"/>
    <w:rsid w:val="00061D20"/>
    <w:rsid w:val="0007738E"/>
    <w:rsid w:val="00081227"/>
    <w:rsid w:val="00085A23"/>
    <w:rsid w:val="000B107E"/>
    <w:rsid w:val="000E194A"/>
    <w:rsid w:val="000E4889"/>
    <w:rsid w:val="000F324C"/>
    <w:rsid w:val="00116E49"/>
    <w:rsid w:val="00135E10"/>
    <w:rsid w:val="00170E01"/>
    <w:rsid w:val="001740E6"/>
    <w:rsid w:val="00174B68"/>
    <w:rsid w:val="001905D2"/>
    <w:rsid w:val="00194090"/>
    <w:rsid w:val="001C1695"/>
    <w:rsid w:val="001C2007"/>
    <w:rsid w:val="001C3FAE"/>
    <w:rsid w:val="001C6303"/>
    <w:rsid w:val="001E435B"/>
    <w:rsid w:val="001F12E4"/>
    <w:rsid w:val="001F384B"/>
    <w:rsid w:val="00201432"/>
    <w:rsid w:val="002147DD"/>
    <w:rsid w:val="002150F1"/>
    <w:rsid w:val="00261DE7"/>
    <w:rsid w:val="00285135"/>
    <w:rsid w:val="00290CBB"/>
    <w:rsid w:val="00291EC6"/>
    <w:rsid w:val="002A5A5D"/>
    <w:rsid w:val="002F3ABD"/>
    <w:rsid w:val="00316CC6"/>
    <w:rsid w:val="0031794B"/>
    <w:rsid w:val="00322EFE"/>
    <w:rsid w:val="0032654C"/>
    <w:rsid w:val="00331FBB"/>
    <w:rsid w:val="00342CB3"/>
    <w:rsid w:val="00343E37"/>
    <w:rsid w:val="00345987"/>
    <w:rsid w:val="00352502"/>
    <w:rsid w:val="00365DF8"/>
    <w:rsid w:val="003800A8"/>
    <w:rsid w:val="003971B5"/>
    <w:rsid w:val="003B09B9"/>
    <w:rsid w:val="003B0A8E"/>
    <w:rsid w:val="003D5C0C"/>
    <w:rsid w:val="003D6A67"/>
    <w:rsid w:val="003E0998"/>
    <w:rsid w:val="003E312D"/>
    <w:rsid w:val="003F6F55"/>
    <w:rsid w:val="00420060"/>
    <w:rsid w:val="00430998"/>
    <w:rsid w:val="00440A73"/>
    <w:rsid w:val="00451088"/>
    <w:rsid w:val="004603BC"/>
    <w:rsid w:val="00465F3D"/>
    <w:rsid w:val="0046657C"/>
    <w:rsid w:val="00470173"/>
    <w:rsid w:val="004705AC"/>
    <w:rsid w:val="00472F94"/>
    <w:rsid w:val="0048680F"/>
    <w:rsid w:val="00486EBE"/>
    <w:rsid w:val="00497F46"/>
    <w:rsid w:val="004A202F"/>
    <w:rsid w:val="004A3A4C"/>
    <w:rsid w:val="004A49B1"/>
    <w:rsid w:val="004A5005"/>
    <w:rsid w:val="004A612E"/>
    <w:rsid w:val="004B27B1"/>
    <w:rsid w:val="004C64E8"/>
    <w:rsid w:val="004D620B"/>
    <w:rsid w:val="004D7AAF"/>
    <w:rsid w:val="004E0675"/>
    <w:rsid w:val="004E45B4"/>
    <w:rsid w:val="004E5B8C"/>
    <w:rsid w:val="004F588A"/>
    <w:rsid w:val="00502DF1"/>
    <w:rsid w:val="00507EB8"/>
    <w:rsid w:val="00536DC4"/>
    <w:rsid w:val="00554D6E"/>
    <w:rsid w:val="0057457A"/>
    <w:rsid w:val="00576F83"/>
    <w:rsid w:val="005A1308"/>
    <w:rsid w:val="005A2415"/>
    <w:rsid w:val="005B0126"/>
    <w:rsid w:val="005B043D"/>
    <w:rsid w:val="005B55F1"/>
    <w:rsid w:val="005C03A2"/>
    <w:rsid w:val="005D0B64"/>
    <w:rsid w:val="005D6CCE"/>
    <w:rsid w:val="005E4283"/>
    <w:rsid w:val="005E76B5"/>
    <w:rsid w:val="005F298D"/>
    <w:rsid w:val="005F2BE8"/>
    <w:rsid w:val="005F3965"/>
    <w:rsid w:val="00613502"/>
    <w:rsid w:val="00614CBD"/>
    <w:rsid w:val="00620562"/>
    <w:rsid w:val="006206A9"/>
    <w:rsid w:val="006378E5"/>
    <w:rsid w:val="0067006E"/>
    <w:rsid w:val="00685E76"/>
    <w:rsid w:val="00686368"/>
    <w:rsid w:val="006932D2"/>
    <w:rsid w:val="006A351D"/>
    <w:rsid w:val="006B058E"/>
    <w:rsid w:val="006B7990"/>
    <w:rsid w:val="006C5E12"/>
    <w:rsid w:val="006D1408"/>
    <w:rsid w:val="006D1436"/>
    <w:rsid w:val="006D5451"/>
    <w:rsid w:val="006E14C1"/>
    <w:rsid w:val="006F30A5"/>
    <w:rsid w:val="006F5528"/>
    <w:rsid w:val="0072207C"/>
    <w:rsid w:val="00730A39"/>
    <w:rsid w:val="00732CFA"/>
    <w:rsid w:val="007861DA"/>
    <w:rsid w:val="007A0401"/>
    <w:rsid w:val="007E6D7D"/>
    <w:rsid w:val="007E6F1E"/>
    <w:rsid w:val="008078A9"/>
    <w:rsid w:val="008079C7"/>
    <w:rsid w:val="008179F6"/>
    <w:rsid w:val="00817DD4"/>
    <w:rsid w:val="00822279"/>
    <w:rsid w:val="0082298F"/>
    <w:rsid w:val="00845F9B"/>
    <w:rsid w:val="00847830"/>
    <w:rsid w:val="00863F19"/>
    <w:rsid w:val="008802EE"/>
    <w:rsid w:val="00894855"/>
    <w:rsid w:val="008A2C10"/>
    <w:rsid w:val="008A2CE2"/>
    <w:rsid w:val="008C62B1"/>
    <w:rsid w:val="008D0FFC"/>
    <w:rsid w:val="008D5858"/>
    <w:rsid w:val="008E2EFD"/>
    <w:rsid w:val="008F48A7"/>
    <w:rsid w:val="008F68DF"/>
    <w:rsid w:val="008F7FBA"/>
    <w:rsid w:val="0091076A"/>
    <w:rsid w:val="00926AB5"/>
    <w:rsid w:val="0095230B"/>
    <w:rsid w:val="00956796"/>
    <w:rsid w:val="00963326"/>
    <w:rsid w:val="00976AF1"/>
    <w:rsid w:val="00981B7F"/>
    <w:rsid w:val="009A4804"/>
    <w:rsid w:val="009B5381"/>
    <w:rsid w:val="009C2138"/>
    <w:rsid w:val="009D6D01"/>
    <w:rsid w:val="009E2B6D"/>
    <w:rsid w:val="009E674C"/>
    <w:rsid w:val="009E760D"/>
    <w:rsid w:val="00A06D3B"/>
    <w:rsid w:val="00A11FCC"/>
    <w:rsid w:val="00A15290"/>
    <w:rsid w:val="00A231CC"/>
    <w:rsid w:val="00A346F1"/>
    <w:rsid w:val="00A347DE"/>
    <w:rsid w:val="00A355DC"/>
    <w:rsid w:val="00A35B4F"/>
    <w:rsid w:val="00A5290F"/>
    <w:rsid w:val="00A616A3"/>
    <w:rsid w:val="00A77790"/>
    <w:rsid w:val="00A95568"/>
    <w:rsid w:val="00A968E0"/>
    <w:rsid w:val="00AA3AE1"/>
    <w:rsid w:val="00AC6E0F"/>
    <w:rsid w:val="00AE50C2"/>
    <w:rsid w:val="00AF087C"/>
    <w:rsid w:val="00AF6B03"/>
    <w:rsid w:val="00B04FF1"/>
    <w:rsid w:val="00B1303A"/>
    <w:rsid w:val="00B452FF"/>
    <w:rsid w:val="00B52085"/>
    <w:rsid w:val="00B773FA"/>
    <w:rsid w:val="00B948AE"/>
    <w:rsid w:val="00BA2996"/>
    <w:rsid w:val="00BB1241"/>
    <w:rsid w:val="00BB5F71"/>
    <w:rsid w:val="00BC1143"/>
    <w:rsid w:val="00BD168F"/>
    <w:rsid w:val="00BE3F53"/>
    <w:rsid w:val="00BF09AE"/>
    <w:rsid w:val="00BF3664"/>
    <w:rsid w:val="00C07B8C"/>
    <w:rsid w:val="00C10551"/>
    <w:rsid w:val="00C148F1"/>
    <w:rsid w:val="00C17BD6"/>
    <w:rsid w:val="00C237BD"/>
    <w:rsid w:val="00C371ED"/>
    <w:rsid w:val="00C503AC"/>
    <w:rsid w:val="00C54C82"/>
    <w:rsid w:val="00C62FD1"/>
    <w:rsid w:val="00C87D43"/>
    <w:rsid w:val="00C94812"/>
    <w:rsid w:val="00CC4719"/>
    <w:rsid w:val="00CC67DE"/>
    <w:rsid w:val="00CD2C0E"/>
    <w:rsid w:val="00CE4A63"/>
    <w:rsid w:val="00CE4B42"/>
    <w:rsid w:val="00D05B74"/>
    <w:rsid w:val="00D10002"/>
    <w:rsid w:val="00D177B3"/>
    <w:rsid w:val="00D22337"/>
    <w:rsid w:val="00D224C6"/>
    <w:rsid w:val="00D32153"/>
    <w:rsid w:val="00D33386"/>
    <w:rsid w:val="00D7196E"/>
    <w:rsid w:val="00D82B14"/>
    <w:rsid w:val="00D842AB"/>
    <w:rsid w:val="00D84E25"/>
    <w:rsid w:val="00D93126"/>
    <w:rsid w:val="00DB2E3E"/>
    <w:rsid w:val="00DD381C"/>
    <w:rsid w:val="00E2774D"/>
    <w:rsid w:val="00E34522"/>
    <w:rsid w:val="00E36612"/>
    <w:rsid w:val="00E43C2E"/>
    <w:rsid w:val="00E44B7B"/>
    <w:rsid w:val="00E47D1E"/>
    <w:rsid w:val="00E71F77"/>
    <w:rsid w:val="00E8675E"/>
    <w:rsid w:val="00EB2743"/>
    <w:rsid w:val="00EC5498"/>
    <w:rsid w:val="00EE3EE9"/>
    <w:rsid w:val="00EF3343"/>
    <w:rsid w:val="00F001B8"/>
    <w:rsid w:val="00F04A85"/>
    <w:rsid w:val="00F100BE"/>
    <w:rsid w:val="00F232E2"/>
    <w:rsid w:val="00F36F49"/>
    <w:rsid w:val="00F4070F"/>
    <w:rsid w:val="00F45A55"/>
    <w:rsid w:val="00F56EBA"/>
    <w:rsid w:val="00F71772"/>
    <w:rsid w:val="00FA16EA"/>
    <w:rsid w:val="00FB764A"/>
    <w:rsid w:val="00FE4496"/>
    <w:rsid w:val="00FE6E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C6332"/>
  <w15:chartTrackingRefBased/>
  <w15:docId w15:val="{CC0C5ACF-BEE7-4D7C-AFEB-C427C52C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107E"/>
    <w:pPr>
      <w:spacing w:line="278" w:lineRule="auto"/>
    </w:pPr>
    <w:rPr>
      <w:sz w:val="24"/>
      <w:szCs w:val="24"/>
    </w:rPr>
  </w:style>
  <w:style w:type="paragraph" w:styleId="Ttulo1">
    <w:name w:val="heading 1"/>
    <w:basedOn w:val="Normal"/>
    <w:next w:val="Normal"/>
    <w:link w:val="Ttulo1Car"/>
    <w:uiPriority w:val="9"/>
    <w:qFormat/>
    <w:rsid w:val="000B107E"/>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107E"/>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07E"/>
    <w:pPr>
      <w:keepNext/>
      <w:keepLines/>
      <w:spacing w:before="160" w:after="80" w:line="259"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07E"/>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Ttulo5">
    <w:name w:val="heading 5"/>
    <w:basedOn w:val="Normal"/>
    <w:next w:val="Normal"/>
    <w:link w:val="Ttulo5Car"/>
    <w:uiPriority w:val="9"/>
    <w:semiHidden/>
    <w:unhideWhenUsed/>
    <w:qFormat/>
    <w:rsid w:val="000B107E"/>
    <w:pPr>
      <w:keepNext/>
      <w:keepLines/>
      <w:spacing w:before="80" w:after="40" w:line="259" w:lineRule="auto"/>
      <w:outlineLvl w:val="4"/>
    </w:pPr>
    <w:rPr>
      <w:rFonts w:eastAsiaTheme="majorEastAsia" w:cstheme="majorBidi"/>
      <w:color w:val="0F4761" w:themeColor="accent1" w:themeShade="BF"/>
      <w:sz w:val="22"/>
      <w:szCs w:val="22"/>
    </w:rPr>
  </w:style>
  <w:style w:type="paragraph" w:styleId="Ttulo6">
    <w:name w:val="heading 6"/>
    <w:basedOn w:val="Normal"/>
    <w:next w:val="Normal"/>
    <w:link w:val="Ttulo6Car"/>
    <w:uiPriority w:val="9"/>
    <w:semiHidden/>
    <w:unhideWhenUsed/>
    <w:qFormat/>
    <w:rsid w:val="000B107E"/>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Ttulo7">
    <w:name w:val="heading 7"/>
    <w:basedOn w:val="Normal"/>
    <w:next w:val="Normal"/>
    <w:link w:val="Ttulo7Car"/>
    <w:uiPriority w:val="9"/>
    <w:semiHidden/>
    <w:unhideWhenUsed/>
    <w:qFormat/>
    <w:rsid w:val="000B107E"/>
    <w:pPr>
      <w:keepNext/>
      <w:keepLines/>
      <w:spacing w:before="40" w:after="0" w:line="259" w:lineRule="auto"/>
      <w:outlineLvl w:val="6"/>
    </w:pPr>
    <w:rPr>
      <w:rFonts w:eastAsiaTheme="majorEastAsia" w:cstheme="majorBidi"/>
      <w:color w:val="595959" w:themeColor="text1" w:themeTint="A6"/>
      <w:sz w:val="22"/>
      <w:szCs w:val="22"/>
    </w:rPr>
  </w:style>
  <w:style w:type="paragraph" w:styleId="Ttulo8">
    <w:name w:val="heading 8"/>
    <w:basedOn w:val="Normal"/>
    <w:next w:val="Normal"/>
    <w:link w:val="Ttulo8Car"/>
    <w:uiPriority w:val="9"/>
    <w:semiHidden/>
    <w:unhideWhenUsed/>
    <w:qFormat/>
    <w:rsid w:val="000B107E"/>
    <w:pPr>
      <w:keepNext/>
      <w:keepLines/>
      <w:spacing w:after="0" w:line="259" w:lineRule="auto"/>
      <w:outlineLvl w:val="7"/>
    </w:pPr>
    <w:rPr>
      <w:rFonts w:eastAsiaTheme="majorEastAsia" w:cstheme="majorBidi"/>
      <w:i/>
      <w:iCs/>
      <w:color w:val="272727" w:themeColor="text1" w:themeTint="D8"/>
      <w:sz w:val="22"/>
      <w:szCs w:val="22"/>
    </w:rPr>
  </w:style>
  <w:style w:type="paragraph" w:styleId="Ttulo9">
    <w:name w:val="heading 9"/>
    <w:basedOn w:val="Normal"/>
    <w:next w:val="Normal"/>
    <w:link w:val="Ttulo9Car"/>
    <w:uiPriority w:val="9"/>
    <w:semiHidden/>
    <w:unhideWhenUsed/>
    <w:qFormat/>
    <w:rsid w:val="000B107E"/>
    <w:pPr>
      <w:keepNext/>
      <w:keepLines/>
      <w:spacing w:after="0" w:line="259" w:lineRule="auto"/>
      <w:outlineLvl w:val="8"/>
    </w:pPr>
    <w:rPr>
      <w:rFonts w:eastAsiaTheme="majorEastAsia" w:cstheme="majorBidi"/>
      <w:color w:val="272727" w:themeColor="text1" w:themeTint="D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0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10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0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0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0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0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0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0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07E"/>
    <w:rPr>
      <w:rFonts w:eastAsiaTheme="majorEastAsia" w:cstheme="majorBidi"/>
      <w:color w:val="272727" w:themeColor="text1" w:themeTint="D8"/>
    </w:rPr>
  </w:style>
  <w:style w:type="paragraph" w:styleId="Ttulo">
    <w:name w:val="Title"/>
    <w:basedOn w:val="Normal"/>
    <w:next w:val="Normal"/>
    <w:link w:val="TtuloCar"/>
    <w:uiPriority w:val="10"/>
    <w:qFormat/>
    <w:rsid w:val="000B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0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07E"/>
    <w:pPr>
      <w:numPr>
        <w:ilvl w:val="1"/>
      </w:numPr>
      <w:spacing w:line="259"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0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07E"/>
    <w:pPr>
      <w:spacing w:before="160" w:line="259" w:lineRule="auto"/>
      <w:jc w:val="center"/>
    </w:pPr>
    <w:rPr>
      <w:i/>
      <w:iCs/>
      <w:color w:val="404040" w:themeColor="text1" w:themeTint="BF"/>
      <w:sz w:val="22"/>
      <w:szCs w:val="22"/>
    </w:rPr>
  </w:style>
  <w:style w:type="character" w:customStyle="1" w:styleId="CitaCar">
    <w:name w:val="Cita Car"/>
    <w:basedOn w:val="Fuentedeprrafopredeter"/>
    <w:link w:val="Cita"/>
    <w:uiPriority w:val="29"/>
    <w:rsid w:val="000B107E"/>
    <w:rPr>
      <w:i/>
      <w:iCs/>
      <w:color w:val="404040" w:themeColor="text1" w:themeTint="BF"/>
    </w:rPr>
  </w:style>
  <w:style w:type="paragraph" w:styleId="Prrafodelista">
    <w:name w:val="List Paragraph"/>
    <w:basedOn w:val="Normal"/>
    <w:uiPriority w:val="34"/>
    <w:qFormat/>
    <w:rsid w:val="000B107E"/>
    <w:pPr>
      <w:spacing w:line="259" w:lineRule="auto"/>
      <w:ind w:left="720"/>
      <w:contextualSpacing/>
    </w:pPr>
    <w:rPr>
      <w:sz w:val="22"/>
      <w:szCs w:val="22"/>
    </w:rPr>
  </w:style>
  <w:style w:type="character" w:styleId="nfasisintenso">
    <w:name w:val="Intense Emphasis"/>
    <w:basedOn w:val="Fuentedeprrafopredeter"/>
    <w:uiPriority w:val="21"/>
    <w:qFormat/>
    <w:rsid w:val="000B107E"/>
    <w:rPr>
      <w:i/>
      <w:iCs/>
      <w:color w:val="0F4761" w:themeColor="accent1" w:themeShade="BF"/>
    </w:rPr>
  </w:style>
  <w:style w:type="paragraph" w:styleId="Citadestacada">
    <w:name w:val="Intense Quote"/>
    <w:basedOn w:val="Normal"/>
    <w:next w:val="Normal"/>
    <w:link w:val="CitadestacadaCar"/>
    <w:uiPriority w:val="30"/>
    <w:qFormat/>
    <w:rsid w:val="000B107E"/>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CitadestacadaCar">
    <w:name w:val="Cita destacada Car"/>
    <w:basedOn w:val="Fuentedeprrafopredeter"/>
    <w:link w:val="Citadestacada"/>
    <w:uiPriority w:val="30"/>
    <w:rsid w:val="000B107E"/>
    <w:rPr>
      <w:i/>
      <w:iCs/>
      <w:color w:val="0F4761" w:themeColor="accent1" w:themeShade="BF"/>
    </w:rPr>
  </w:style>
  <w:style w:type="character" w:styleId="Referenciaintensa">
    <w:name w:val="Intense Reference"/>
    <w:basedOn w:val="Fuentedeprrafopredeter"/>
    <w:uiPriority w:val="32"/>
    <w:qFormat/>
    <w:rsid w:val="000B107E"/>
    <w:rPr>
      <w:b/>
      <w:bCs/>
      <w:smallCaps/>
      <w:color w:val="0F4761" w:themeColor="accent1" w:themeShade="BF"/>
      <w:spacing w:val="5"/>
    </w:rPr>
  </w:style>
  <w:style w:type="paragraph" w:styleId="Encabezado">
    <w:name w:val="header"/>
    <w:basedOn w:val="Normal"/>
    <w:link w:val="EncabezadoCar"/>
    <w:uiPriority w:val="99"/>
    <w:unhideWhenUsed/>
    <w:rsid w:val="000B10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107E"/>
    <w:rPr>
      <w:sz w:val="24"/>
      <w:szCs w:val="24"/>
    </w:rPr>
  </w:style>
  <w:style w:type="paragraph" w:styleId="Piedepgina">
    <w:name w:val="footer"/>
    <w:basedOn w:val="Normal"/>
    <w:link w:val="PiedepginaCar"/>
    <w:uiPriority w:val="99"/>
    <w:unhideWhenUsed/>
    <w:rsid w:val="000B10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107E"/>
    <w:rPr>
      <w:sz w:val="24"/>
      <w:szCs w:val="24"/>
    </w:rPr>
  </w:style>
  <w:style w:type="character" w:styleId="Hipervnculo">
    <w:name w:val="Hyperlink"/>
    <w:basedOn w:val="Fuentedeprrafopredeter"/>
    <w:uiPriority w:val="99"/>
    <w:unhideWhenUsed/>
    <w:rsid w:val="005E76B5"/>
    <w:rPr>
      <w:color w:val="467886" w:themeColor="hyperlink"/>
      <w:u w:val="single"/>
    </w:rPr>
  </w:style>
  <w:style w:type="character" w:styleId="Mencinsinresolver">
    <w:name w:val="Unresolved Mention"/>
    <w:basedOn w:val="Fuentedeprrafopredeter"/>
    <w:uiPriority w:val="99"/>
    <w:semiHidden/>
    <w:unhideWhenUsed/>
    <w:rsid w:val="005E7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barnils@usm.cl"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E3DCCD7373024E84EE2E195A0A7460" ma:contentTypeVersion="14" ma:contentTypeDescription="Crear nuevo documento." ma:contentTypeScope="" ma:versionID="dc5fa60af455260d21e44b0f00b28620">
  <xsd:schema xmlns:xsd="http://www.w3.org/2001/XMLSchema" xmlns:xs="http://www.w3.org/2001/XMLSchema" xmlns:p="http://schemas.microsoft.com/office/2006/metadata/properties" xmlns:ns3="7c5d65ae-dd4c-42e9-a760-1483bb566e2c" xmlns:ns4="ecb6ce5d-d8b9-4a2b-93be-18f353c43254" targetNamespace="http://schemas.microsoft.com/office/2006/metadata/properties" ma:root="true" ma:fieldsID="8676c9d43b3833bf1bf96c06490cd825" ns3:_="" ns4:_="">
    <xsd:import namespace="7c5d65ae-dd4c-42e9-a760-1483bb566e2c"/>
    <xsd:import namespace="ecb6ce5d-d8b9-4a2b-93be-18f353c4325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d65ae-dd4c-42e9-a760-1483bb566e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b6ce5d-d8b9-4a2b-93be-18f353c43254"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c5d65ae-dd4c-42e9-a760-1483bb566e2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59AFDB-DA11-4BAA-8ED4-CBB507AA9F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d65ae-dd4c-42e9-a760-1483bb566e2c"/>
    <ds:schemaRef ds:uri="ecb6ce5d-d8b9-4a2b-93be-18f353c43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CA6F81-69B8-45E7-BBDA-1CBBE83B4254}">
  <ds:schemaRefs>
    <ds:schemaRef ds:uri="http://schemas.microsoft.com/office/2006/metadata/properties"/>
    <ds:schemaRef ds:uri="http://schemas.microsoft.com/office/infopath/2007/PartnerControls"/>
    <ds:schemaRef ds:uri="7c5d65ae-dd4c-42e9-a760-1483bb566e2c"/>
  </ds:schemaRefs>
</ds:datastoreItem>
</file>

<file path=customXml/itemProps3.xml><?xml version="1.0" encoding="utf-8"?>
<ds:datastoreItem xmlns:ds="http://schemas.openxmlformats.org/officeDocument/2006/customXml" ds:itemID="{3DCF2066-6E77-4FC5-B3BC-104A0FB9B8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2052</Words>
  <Characters>11287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Barnils Venegas (Alumno)</dc:creator>
  <cp:keywords/>
  <dc:description/>
  <cp:lastModifiedBy>Agustin Barnils Venegas (Alumno)</cp:lastModifiedBy>
  <cp:revision>5</cp:revision>
  <cp:lastPrinted>2026-09-03T02:54:00Z</cp:lastPrinted>
  <dcterms:created xsi:type="dcterms:W3CDTF">2026-09-03T02:13:00Z</dcterms:created>
  <dcterms:modified xsi:type="dcterms:W3CDTF">2026-09-03T02:55:00Z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0x0101006FE3DCCD7373024E84EE2E195A0A7460</vt:lpwstr>
  </property>
</Properties>
</file>