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0c7aa353bd9b0d8fbbe490de93abae8f6ce7d13"/>
      <w:r>
        <w:t xml:space="preserve">[ 913 548 6290 ] [Olathe, KS] [</w:t>
      </w:r>
      <w:hyperlink r:id="rId21">
        <w:r>
          <w:rPr>
            <w:rStyle w:val="Hyperlink"/>
          </w:rPr>
          <w:t xml:space="preserve">andy@andybarrows.com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 key websites and services,</w:t>
      </w:r>
      <w:r>
        <w:t xml:space="preserve"> </w:t>
      </w:r>
      <w:r>
        <w:rPr>
          <w:b/>
        </w:rPr>
        <w:t xml:space="preserve">culminating in a peak of 8.6 million monthly user impressions 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Proven track record of inspiring others by fostering exceptional growth and development, more front-end engineering job promotions were realized than all other technical teams combined during my tenure as manager.</w:t>
      </w:r>
    </w:p>
    <w:p>
      <w:pPr>
        <w:numPr>
          <w:ilvl w:val="0"/>
          <w:numId w:val="1001"/>
        </w:numPr>
      </w:pPr>
      <w:r>
        <w:t xml:space="preserve">Promoted growth mindset culture throughout technical teams and across the company.Â  Achieved by pioneering a new career growth system of streamlined technical roles and progressive career paths.</w:t>
      </w:r>
    </w:p>
    <w:p>
      <w:pPr>
        <w:numPr>
          <w:ilvl w:val="0"/>
          <w:numId w:val="1001"/>
        </w:numPr>
      </w:pPr>
      <w:r>
        <w:t xml:space="preserve">Reduced onboarding time for new software engineers from 60 days to 14 days by creating an onboarding procedure which included ever evolving automations, dotfile scripts, and tooling.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 Candidate Engagement Matrix, setting a new benchmark in efficient and inclusive hiring practices while evolving from hundreds of interviews and continuously improved through recruiter feedback.</w:t>
      </w:r>
    </w:p>
    <w:p>
      <w:pPr>
        <w:numPr>
          <w:ilvl w:val="0"/>
          <w:numId w:val="1001"/>
        </w:numPr>
      </w:pPr>
      <w:r>
        <w:t xml:space="preserve">Directed alongside 3 other engineering managers during the rapid and successful response to a state-sponsored ransomware attack. Within four days we achieved 100% data recovery without paying a ransom. Maintained service continuity, all SLA commitments, and conducted operating system scans for 150 employees while coordinating efforts with senior leadership, cyber insurance, and FBI.</w:t>
      </w:r>
    </w:p>
    <w:p>
      <w:pPr>
        <w:numPr>
          <w:ilvl w:val="0"/>
          <w:numId w:val="1001"/>
        </w:numPr>
      </w:pPr>
      <w:r>
        <w:t xml:space="preserve">Increased deployment speeds by 22% and exponentially improved code and product quality on our flagship applications while in close collaboration with our DevOps team.</w:t>
      </w:r>
    </w:p>
    <w:p>
      <w:pPr>
        <w:numPr>
          <w:ilvl w:val="0"/>
          <w:numId w:val="1001"/>
        </w:numPr>
      </w:pPr>
      <w:r>
        <w:t xml:space="preserve">Spearheaded reduction in annual budget by nearly 50%. Adopted zero-based budget strategy to eliminate unnecessary expenses and strategically shifted to more cost-effective platforms like Atlassian, Github, and Browserstack while negotiating with vendors.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t xml:space="preserve">Led our front-end engineering team to win a Webby Award for thefarside.com.</w:t>
      </w:r>
    </w:p>
    <w:p>
      <w:pPr>
        <w:numPr>
          <w:ilvl w:val="0"/>
          <w:numId w:val="1002"/>
        </w:numPr>
      </w:pPr>
      <w:r>
        <w:t xml:space="preserve">Served as key liaison in an independent company-wide security audit, achieving low risk assessment while transparently supporting consultants and senior leadership.</w:t>
      </w:r>
    </w:p>
    <w:p>
      <w:pPr>
        <w:numPr>
          <w:ilvl w:val="0"/>
          <w:numId w:val="1002"/>
        </w:numPr>
      </w:pPr>
      <w:r>
        <w:t xml:space="preserve">Led a User Privacy Compliance campaign on a portfolio of 40 digital products resulting in 100% privacy compliance with CCPA, GDPR, and COPA regulations.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2024-04-27T15:10:34Z</dcterms:created>
  <dcterms:modified xsi:type="dcterms:W3CDTF">2024-04-27T15:10:34Z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