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AbarVa · Strategic Move — Executive Memo</w:t>
      </w:r>
    </w:p>
    <w:p>
      <w:r>
        <w:rPr>
          <w:b/>
          <w:bCs/>
        </w:rPr>
        <w:t xml:space="preserve">AI-enabled Population Health &amp; Clinical Performance Command Center</w:t>
      </w:r>
    </w:p>
    <w:p>
      <w:r>
        <w:rPr>
          <w:i/>
          <w:iCs/>
        </w:rPr>
        <w:t xml:space="preserve">Tenant: Meridian Health System (synthetic)</w:t>
      </w:r>
    </w:p>
    <w:p>
      <w:r>
        <w:rPr>
          <w:i/>
          <w:iCs/>
          <w:color w:val="706D66"/>
        </w:rPr>
        <w:t xml:space="preserve">Synthetic, Meridian/PHS-inspired pilot context. Not real confidential PHS data.</w:t>
      </w:r>
    </w:p>
    <w:p>
      <w:pPr>
        <w:pStyle w:val="Heading1"/>
      </w:pPr>
      <w:r>
        <w:t xml:space="preserve">My read</w:t>
      </w:r>
    </w:p>
    <w:p>
      <w:r>
        <w:t xml:space="preserve">A governed Population Health &amp; Clinical Performance Command Center is the highest-value AI move for Meridian because it spans the provider and the plan, attacks avoidable utilization and quality-bonus gaps at once, and rides the Azure Databricks lakehouse already on the roadmap.</w:t>
      </w:r>
    </w:p>
    <w:p>
      <w:pPr>
        <w:pStyle w:val="Heading1"/>
      </w:pPr>
      <w:r>
        <w:t xml:space="preserve">Value at stake</w:t>
      </w:r>
    </w:p>
    <w:p>
      <w:r>
        <w:t xml:space="preserve">Projected $38.0M–$61.0M per year across five levers (see value model). Funding gate is CFO approval at P4 exit.</w:t>
      </w:r>
    </w:p>
    <w:p>
      <w:pPr>
        <w:pStyle w:val="ListParagraph"/>
        <w:numPr>
          <w:ilvl w:val="0"/>
          <w:numId w:val="1"/>
        </w:numPr>
      </w:pPr>
      <w:r>
        <w:t xml:space="preserve">• Avoidable admissions reduction: $12.0M–$19.0M (Chief Population Health Officer)</w:t>
      </w:r>
    </w:p>
    <w:p>
      <w:pPr>
        <w:pStyle w:val="ListParagraph"/>
        <w:numPr>
          <w:ilvl w:val="0"/>
          <w:numId w:val="1"/>
        </w:numPr>
      </w:pPr>
      <w:r>
        <w:t xml:space="preserve">• Care-gap closure (HEDIS/STAR): $8.0M–$13.0M (VP Population Health Analytics)</w:t>
      </w:r>
    </w:p>
    <w:p>
      <w:pPr>
        <w:pStyle w:val="ListParagraph"/>
        <w:numPr>
          <w:ilvl w:val="0"/>
          <w:numId w:val="1"/>
        </w:numPr>
      </w:pPr>
      <w:r>
        <w:t xml:space="preserve">• Quality-bonus realization: $9.0M–$14.0M (Health Plan COO)</w:t>
      </w:r>
    </w:p>
    <w:p>
      <w:pPr>
        <w:pStyle w:val="ListParagraph"/>
        <w:numPr>
          <w:ilvl w:val="0"/>
          <w:numId w:val="1"/>
        </w:numPr>
      </w:pPr>
      <w:r>
        <w:t xml:space="preserve">• Risk-adjustment accuracy (RAF): $5.0M–$9.0M (Chief Actuary (Plan))</w:t>
      </w:r>
    </w:p>
    <w:p>
      <w:pPr>
        <w:pStyle w:val="ListParagraph"/>
        <w:numPr>
          <w:ilvl w:val="0"/>
          <w:numId w:val="1"/>
        </w:numPr>
      </w:pPr>
      <w:r>
        <w:t xml:space="preserve">• Post-acute / readmission: $4.0M–$6.0M (Chief Medical Officer)</w:t>
      </w:r>
    </w:p>
    <w:p>
      <w:pPr>
        <w:pStyle w:val="Heading1"/>
      </w:pPr>
      <w:r>
        <w:t xml:space="preserve">Phases</w:t>
      </w:r>
    </w:p>
    <w:p>
      <w:pPr>
        <w:pStyle w:val="Heading2"/>
      </w:pPr>
      <w:r>
        <w:t xml:space="preserve">P0 Originate — Originate brief</w:t>
      </w:r>
    </w:p>
    <w:p>
      <w:r>
        <w:t xml:space="preserve">Frame the command-center bet across provider and plan; name sponsor, value range, and the first gate.</w:t>
      </w:r>
    </w:p>
    <w:p>
      <w:pPr>
        <w:pStyle w:val="ListParagraph"/>
        <w:numPr>
          <w:ilvl w:val="0"/>
          <w:numId w:val="1"/>
        </w:numPr>
      </w:pPr>
      <w:r>
        <w:t xml:space="preserve">Problem: care-gap closure, avoidable utilization, and STAR/HEDIS pressure span provider and plan but are managed in silos.</w:t>
      </w:r>
    </w:p>
    <w:p>
      <w:pPr>
        <w:pStyle w:val="ListParagraph"/>
        <w:numPr>
          <w:ilvl w:val="0"/>
          <w:numId w:val="1"/>
        </w:numPr>
      </w:pPr>
      <w:r>
        <w:t xml:space="preserve">Outcome: a governed command center that prioritizes rising-risk cohorts and routes interventions.</w:t>
      </w:r>
    </w:p>
    <w:p>
      <w:pPr>
        <w:pStyle w:val="ListParagraph"/>
        <w:numPr>
          <w:ilvl w:val="0"/>
          <w:numId w:val="1"/>
        </w:numPr>
      </w:pPr>
      <w:r>
        <w:t xml:space="preserve">Sponsor: Chief Population Health Officer; plan-side partner: Health Plan COO.</w:t>
      </w:r>
    </w:p>
    <w:p>
      <w:pPr>
        <w:pStyle w:val="Heading2"/>
      </w:pPr>
      <w:r>
        <w:t xml:space="preserve">P1 Charter — Charter</w:t>
      </w:r>
    </w:p>
    <w:p>
      <w:r>
        <w:t xml:space="preserve">Lock scope, decision rights, value hypothesis, and the evidence the Move must clear at each gate.</w:t>
      </w:r>
    </w:p>
    <w:p>
      <w:pPr>
        <w:pStyle w:val="ListParagraph"/>
        <w:numPr>
          <w:ilvl w:val="0"/>
          <w:numId w:val="1"/>
        </w:numPr>
      </w:pPr>
      <w:r>
        <w:t xml:space="preserve">In scope: rising-risk stratification, care-gap orchestration, post-discharge follow-up, plan STAR measure capture.</w:t>
      </w:r>
    </w:p>
    <w:p>
      <w:pPr>
        <w:pStyle w:val="ListParagraph"/>
        <w:numPr>
          <w:ilvl w:val="0"/>
          <w:numId w:val="1"/>
        </w:numPr>
      </w:pPr>
      <w:r>
        <w:t xml:space="preserve">Decision rights: AI Governance Council gates clinical models; CFO approves business case &gt;$5M.</w:t>
      </w:r>
    </w:p>
    <w:p>
      <w:pPr>
        <w:pStyle w:val="ListParagraph"/>
        <w:numPr>
          <w:ilvl w:val="0"/>
          <w:numId w:val="1"/>
        </w:numPr>
      </w:pPr>
      <w:r>
        <w:t xml:space="preserve">Value hypothesis: $38M–$61M/yr from avoidable admissions, care-gap closure, and quality-bonus realization.</w:t>
      </w:r>
    </w:p>
    <w:p>
      <w:pPr>
        <w:pStyle w:val="Heading2"/>
      </w:pPr>
      <w:r>
        <w:t xml:space="preserve">P2 Discover &amp; Diagnose — Discovery brief</w:t>
      </w:r>
    </w:p>
    <w:p>
      <w:r>
        <w:t xml:space="preserve">Diagnose the loaded baseline: gaps, denials, acuity, data readiness, and where AI realistically moves the metric.</w:t>
      </w:r>
    </w:p>
    <w:p>
      <w:pPr>
        <w:pStyle w:val="ListParagraph"/>
        <w:numPr>
          <w:ilvl w:val="0"/>
          <w:numId w:val="1"/>
        </w:numPr>
      </w:pPr>
      <w:r>
        <w:t xml:space="preserve">Care-gap analytics: diabetes A1c control 68% vs 75% benchmark; AWV rate 58% vs 70%.</w:t>
      </w:r>
    </w:p>
    <w:p>
      <w:pPr>
        <w:pStyle w:val="ListParagraph"/>
        <w:numPr>
          <w:ilvl w:val="0"/>
          <w:numId w:val="1"/>
        </w:numPr>
      </w:pPr>
      <w:r>
        <w:t xml:space="preserve">Risk-adjustment capture 88% vs 94% suspected; network leakage 19% (commercial).</w:t>
      </w:r>
    </w:p>
    <w:p>
      <w:pPr>
        <w:pStyle w:val="ListParagraph"/>
        <w:numPr>
          <w:ilvl w:val="0"/>
          <w:numId w:val="1"/>
        </w:numPr>
      </w:pPr>
      <w:r>
        <w:t xml:space="preserve">Data readiness: Epic Healthy Planet + Databricks lakehouse; Unity Catalog governance is Wave-1.</w:t>
      </w:r>
    </w:p>
    <w:p>
      <w:pPr>
        <w:pStyle w:val="Heading2"/>
      </w:pPr>
      <w:r>
        <w:t xml:space="preserve">P3 Design Future State — Solution &amp; target-state architecture</w:t>
      </w:r>
    </w:p>
    <w:p>
      <w:r>
        <w:t xml:space="preserve">Design the bronze/silver/gold lakehouse, the model portfolio, and the clinical-safety governance path.</w:t>
      </w:r>
    </w:p>
    <w:p>
      <w:pPr>
        <w:pStyle w:val="ListParagraph"/>
        <w:numPr>
          <w:ilvl w:val="0"/>
          <w:numId w:val="1"/>
        </w:numPr>
      </w:pPr>
      <w:r>
        <w:t xml:space="preserve">Lakehouse: Epic Clarity + Tapestry claims -&gt; bronze -&gt; conformed silver -&gt; population-health gold.</w:t>
      </w:r>
    </w:p>
    <w:p>
      <w:pPr>
        <w:pStyle w:val="ListParagraph"/>
        <w:numPr>
          <w:ilvl w:val="0"/>
          <w:numId w:val="1"/>
        </w:numPr>
      </w:pPr>
      <w:r>
        <w:t xml:space="preserve">Models: rising-risk, post-discharge readmission, care-gap propensity, RAF suspecting (NLP).</w:t>
      </w:r>
    </w:p>
    <w:p>
      <w:pPr>
        <w:pStyle w:val="ListParagraph"/>
        <w:numPr>
          <w:ilvl w:val="0"/>
          <w:numId w:val="1"/>
        </w:numPr>
      </w:pPr>
      <w:r>
        <w:t xml:space="preserve">Governance: Unity Catalog PHI masking + ABAC; AI Governance Council clinical-safety gate.</w:t>
      </w:r>
    </w:p>
    <w:p>
      <w:pPr>
        <w:pStyle w:val="Heading2"/>
      </w:pPr>
      <w:r>
        <w:t xml:space="preserve">P4 Roadmap &amp; Business Case — Costed business case &amp; value model</w:t>
      </w:r>
    </w:p>
    <w:p>
      <w:r>
        <w:t xml:space="preserve">Sequence the waves, cost the platform and AMS, and produce the funding-gate business case.</w:t>
      </w:r>
    </w:p>
    <w:p>
      <w:pPr>
        <w:pStyle w:val="ListParagraph"/>
        <w:numPr>
          <w:ilvl w:val="0"/>
          <w:numId w:val="1"/>
        </w:numPr>
      </w:pPr>
      <w:r>
        <w:t xml:space="preserve">Wave 1: data foundation + governance; Wave 2: conformed analytics; Wave 3: gold + models; Wave 4: monitoring + write-back.</w:t>
      </w:r>
    </w:p>
    <w:p>
      <w:pPr>
        <w:pStyle w:val="ListParagraph"/>
        <w:numPr>
          <w:ilvl w:val="0"/>
          <w:numId w:val="1"/>
        </w:numPr>
      </w:pPr>
      <w:r>
        <w:t xml:space="preserve">Investment: platform + model build + change management, offset against avoidable-cost and quality-bonus value.</w:t>
      </w:r>
    </w:p>
    <w:p>
      <w:pPr>
        <w:pStyle w:val="ListParagraph"/>
        <w:numPr>
          <w:ilvl w:val="0"/>
          <w:numId w:val="1"/>
        </w:numPr>
      </w:pPr>
      <w:r>
        <w:t xml:space="preserve">Funding gate: CFO approval at P4 exit with explicit assumptions and sensitivity.</w:t>
      </w:r>
    </w:p>
    <w:p>
      <w:pPr>
        <w:pStyle w:val="Heading2"/>
      </w:pPr>
      <w:r>
        <w:t xml:space="preserve">P5 Mobilize &amp; Handoff — Mobilization plan &amp; value-measurement contract</w:t>
      </w:r>
    </w:p>
    <w:p>
      <w:r>
        <w:t xml:space="preserve">Stand up the RACI, the operating cadence, and the value-measurement contract Control Tower will own.</w:t>
      </w:r>
    </w:p>
    <w:p>
      <w:pPr>
        <w:pStyle w:val="ListParagraph"/>
        <w:numPr>
          <w:ilvl w:val="0"/>
          <w:numId w:val="1"/>
        </w:numPr>
      </w:pPr>
      <w:r>
        <w:t xml:space="preserve">RACI across CPHO, Plan COO, CDAO, CMIO, CISO, VP Procurement, Transformation Office.</w:t>
      </w:r>
    </w:p>
    <w:p>
      <w:pPr>
        <w:pStyle w:val="ListParagraph"/>
        <w:numPr>
          <w:ilvl w:val="0"/>
          <w:numId w:val="1"/>
        </w:numPr>
      </w:pPr>
      <w:r>
        <w:t xml:space="preserve">Tower owns value realization, model monitoring, and risk after handoff.</w:t>
      </w:r>
    </w:p>
    <w:p>
      <w:pPr>
        <w:pStyle w:val="ListParagraph"/>
        <w:numPr>
          <w:ilvl w:val="0"/>
          <w:numId w:val="1"/>
        </w:numPr>
      </w:pPr>
      <w:r>
        <w:t xml:space="preserve">Value-measurement contract: monthly care-gap closure, avoidable admissions, STAR capture, MLR.</w:t>
      </w:r>
    </w:p>
    <w:p>
      <w:pPr>
        <w:pStyle w:val="Heading1"/>
      </w:pPr>
      <w:r>
        <w:t xml:space="preserve">Assumptions</w:t>
      </w:r>
    </w:p>
    <w:p>
      <w:r>
        <w:t xml:space="preserve">Value ranges are synthetic planning estimates pending CFO validation. Clinical models require AI Governance Council clinical-safety sign-off before any production use.</w:t>
      </w:r>
    </w:p>
    <w:p>
      <w:pPr>
        <w:pStyle w:val="Heading1"/>
      </w:pPr>
      <w:r>
        <w:t xml:space="preserve">Risk / gate</w:t>
      </w:r>
    </w:p>
    <w:p>
      <w:r>
        <w:t xml:space="preserve">Do not advance past P3 until Unity Catalog PHI governance (Wave 1) and model-validation coverage are proven. Do not present any figure as confidential PHS proof.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2026-06-06T16:43:28.041Z</dcterms:created>
  <dcterms:modified xsi:type="dcterms:W3CDTF">2026-06-06T16:43:28.042Z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