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Operating Model</w:t>
      </w:r>
    </w:p>
    <w:p>
      <w:r>
        <w:rPr>
          <w:color w:val="6B7280"/>
          <w:sz w:val="16"/>
        </w:rPr>
        <w:t>Lakeshore Holdings · Owner: Marcus Reilly · Source: Corporate Strategy · As of: 2026-06-06 · Sensitivity: Internal</w:t>
      </w:r>
    </w:p>
    <w:p>
      <w:pPr>
        <w:pStyle w:val="Heading1"/>
      </w:pPr>
      <w:r>
        <w:t>Design principles</w:t>
      </w:r>
    </w:p>
    <w:p>
      <w:pPr>
        <w:pStyle w:val="ListBullet"/>
      </w:pPr>
      <w:r>
        <w:t>Lean corporate center owns policy, architecture, and capital allocation.</w:t>
      </w:r>
    </w:p>
    <w:p>
      <w:pPr>
        <w:pStyle w:val="ListBullet"/>
      </w:pPr>
      <w:r>
        <w:t>BUs own P&amp;L and customer outcomes within group guardrails.</w:t>
      </w:r>
    </w:p>
    <w:p>
      <w:pPr>
        <w:pStyle w:val="ListBullet"/>
      </w:pPr>
      <w:r>
        <w:t>Shared services deliver standardized transactional processes.</w:t>
      </w:r>
    </w:p>
    <w:p>
      <w:pPr>
        <w:pStyle w:val="ListBullet"/>
      </w:pPr>
      <w:r>
        <w:t>A single data &amp; AI platform serves all BUs under federated governance.</w:t>
      </w:r>
    </w:p>
    <w:p>
      <w:pPr>
        <w:pStyle w:val="Heading1"/>
      </w:pPr>
      <w:r>
        <w:t>Decision forums</w:t>
      </w:r>
    </w:p>
    <w:p>
      <w:r>
        <w:t>The Group Executive Committee meets monthly; the Transformation Steering Committee meets bi-weekly; the Treasury Council and Architecture Review Board meet monthly.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enterprise_profile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Operating Model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enterprise_profile</cp:category>
</cp:coreProperties>
</file>