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 Design Narrative</w:t>
      </w:r>
    </w:p>
    <w:p>
      <w:r>
        <w:rPr>
          <w:color w:val="6B7280"/>
          <w:sz w:val="16"/>
        </w:rPr>
        <w:t>Lakeshore Holdings · Owner: Marcus Reilly · Source: Corporate Strategy · As of: 2026-06-06 · Sensitivity: Internal</w:t>
      </w:r>
    </w:p>
    <w:p>
      <w:pPr>
        <w:pStyle w:val="Heading1"/>
      </w:pPr>
      <w:r>
        <w:t>Current state</w:t>
      </w:r>
    </w:p>
    <w:p>
      <w:r>
        <w:t>Finance and IT operate with overlapping demand-management processes; decision rights for cross-BU technology are ambiguous, slowing the Kyriba rollout and reporting changes.</w:t>
      </w:r>
    </w:p>
    <w:p>
      <w:pPr>
        <w:pStyle w:val="Heading1"/>
      </w:pPr>
      <w:r>
        <w:t>Target state</w:t>
      </w:r>
    </w:p>
    <w:p>
      <w:pPr>
        <w:pStyle w:val="ListBullet"/>
      </w:pPr>
      <w:r>
        <w:t>Clear A (accountable) owner per enterprise decision type.</w:t>
      </w:r>
    </w:p>
    <w:p>
      <w:pPr>
        <w:pStyle w:val="ListBullet"/>
      </w:pPr>
      <w:r>
        <w:t>Single intake for finance technology demand.</w:t>
      </w:r>
    </w:p>
    <w:p>
      <w:pPr>
        <w:pStyle w:val="ListBullet"/>
      </w:pPr>
      <w:r>
        <w:t>Federated data ownership with domain stewards.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org_decision_rights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 Design Narrative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org_decision_rights</cp:category>
</cp:coreProperties>
</file>