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 Narrative</w:t>
      </w:r>
    </w:p>
    <w:p>
      <w:r>
        <w:rPr>
          <w:color w:val="6B7280"/>
          <w:sz w:val="16"/>
        </w:rPr>
        <w:t>Lakeshore Holdings · Owner: Maria Donnelly · Source: Corporate Strategy · As of: 2026-06-06 · Sensitivity: Internal</w:t>
      </w:r>
    </w:p>
    <w:p>
      <w:pPr>
        <w:pStyle w:val="Heading1"/>
      </w:pPr>
      <w:r>
        <w:t>Where we play</w:t>
      </w:r>
    </w:p>
    <w:p>
      <w:r>
        <w:t>Lakeshore concentrates capital on industrial components and health supplies while harvesting mature consumer and logistics lines.</w:t>
      </w:r>
    </w:p>
    <w:p>
      <w:pPr>
        <w:pStyle w:val="Heading1"/>
      </w:pPr>
      <w:r>
        <w:t>How we win</w:t>
      </w:r>
    </w:p>
    <w:p>
      <w:pPr>
        <w:pStyle w:val="ListBullet"/>
      </w:pPr>
      <w:r>
        <w:t>Operational excellence</w:t>
      </w:r>
    </w:p>
    <w:p>
      <w:pPr>
        <w:pStyle w:val="ListBullet"/>
      </w:pPr>
      <w:r>
        <w:t>Cash &amp; cost discipline</w:t>
      </w:r>
    </w:p>
    <w:p>
      <w:pPr>
        <w:pStyle w:val="ListBullet"/>
      </w:pPr>
      <w:r>
        <w:t>Data-led decisions</w:t>
      </w:r>
    </w:p>
    <w:p>
      <w:pPr>
        <w:pStyle w:val="ListBullet"/>
      </w:pPr>
      <w:r>
        <w:t>Governed 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strategy_initiatives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Strategy Narrative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strategy_initiatives</cp:category>
</cp:coreProperties>
</file>