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Forecasting Process</w:t>
      </w:r>
    </w:p>
    <w:p>
      <w:r>
        <w:rPr>
          <w:color w:val="6B7280"/>
          <w:sz w:val="16"/>
        </w:rPr>
        <w:t>Lakeshore Holdings · Owner: Sofia Marchetti · Source: OneStream · As of: 2026-06-06 · Sensitivity: Internal</w:t>
      </w:r>
    </w:p>
    <w:p>
      <w:pPr>
        <w:pStyle w:val="Heading1"/>
      </w:pPr>
      <w:r>
        <w:t>Process</w:t>
      </w:r>
    </w:p>
    <w:p>
      <w:pPr>
        <w:pStyle w:val="ListBullet"/>
      </w:pPr>
      <w:r>
        <w:t>Inputs sourced from SAP and Hyperion; consolidated in OneStream.</w:t>
      </w:r>
    </w:p>
    <w:p>
      <w:pPr>
        <w:pStyle w:val="ListBullet"/>
      </w:pPr>
      <w:r>
        <w:t>Cycle time and manual touchpoints are the primary pain points.</w:t>
      </w:r>
    </w:p>
    <w:p>
      <w:pPr>
        <w:pStyle w:val="ListBullet"/>
      </w:pPr>
      <w:r>
        <w:t>Targeted automation via reporting rationalization and Blackline.</w:t>
      </w:r>
    </w:p>
    <w:p>
      <w:pPr>
        <w:pStyle w:val="Heading1"/>
      </w:pPr>
      <w:r>
        <w:t>Pain points</w:t>
      </w:r>
    </w:p>
    <w:p>
      <w:r>
        <w:t>Forecasting Process suffers from spreadsheet sprawl, late actuals, and reconciliation rework.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finance_performance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Forecasting Process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finance_performance</cp:category>
</cp:coreProperties>
</file>