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Treasury Policy</w:t>
      </w:r>
    </w:p>
    <w:p>
      <w:r>
        <w:rPr>
          <w:color w:val="6B7280"/>
          <w:sz w:val="16"/>
        </w:rPr>
        <w:t>Lakeshore Holdings · Owner: Elena Vasquez · Source: Treasury · As of: 2026-06-06 · Sensitivity: Internal</w:t>
      </w:r>
    </w:p>
    <w:p>
      <w:pPr>
        <w:pStyle w:val="Heading1"/>
      </w:pPr>
      <w:r>
        <w:t>Overview</w:t>
      </w:r>
    </w:p>
    <w:p>
      <w:r>
        <w:t>Treasury Policy for Lakeshore group treasury (synthetic).</w:t>
      </w:r>
    </w:p>
    <w:p>
      <w:pPr>
        <w:pStyle w:val="Heading1"/>
      </w:pPr>
      <w:r>
        <w:t>Controls</w:t>
      </w:r>
    </w:p>
    <w:p>
      <w:pPr>
        <w:pStyle w:val="ListBullet"/>
      </w:pPr>
      <w:r>
        <w:t>Dual authorization on payments</w:t>
      </w:r>
    </w:p>
    <w:p>
      <w:pPr>
        <w:pStyle w:val="ListBullet"/>
      </w:pPr>
      <w:r>
        <w:t>Sanctions screening</w:t>
      </w:r>
    </w:p>
    <w:p>
      <w:pPr>
        <w:pStyle w:val="ListBullet"/>
      </w:pPr>
      <w:r>
        <w:t>Payment limits by entity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treasury_kyriba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Treasury Policy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treasury_kyriba</cp:category>
</cp:coreProperties>
</file>