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Semantic Layer Assumptions</w:t>
      </w:r>
    </w:p>
    <w:p>
      <w:r>
        <w:rPr>
          <w:color w:val="6B7280"/>
          <w:sz w:val="16"/>
        </w:rPr>
        <w:t>Lakeshore Holdings · Owner: Aisha Bello · Source: Snowflake · As of: 2026-06-06 · Sensitivity: Internal</w:t>
      </w:r>
    </w:p>
    <w:p>
      <w:pPr>
        <w:pStyle w:val="Heading1"/>
      </w:pPr>
      <w:r>
        <w:t>Assumptions</w:t>
      </w:r>
    </w:p>
    <w:p>
      <w:pPr>
        <w:pStyle w:val="ListBullet"/>
      </w:pPr>
      <w:r>
        <w:t>Single conformed dimension set for finance.</w:t>
      </w:r>
    </w:p>
    <w:p>
      <w:pPr>
        <w:pStyle w:val="ListBullet"/>
      </w:pPr>
      <w:r>
        <w:t>Certified metric definitions in dbt semantic layer.</w:t>
      </w:r>
    </w:p>
    <w:p>
      <w:pPr>
        <w:pStyle w:val="ListBullet"/>
      </w:pPr>
      <w:r>
        <w:t>BI tools consume governed metrics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data_analytics_reporting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Semantic Layer Assumptions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data_analytics_reporting</cp:category>
</cp:coreProperties>
</file>