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Procure-to-Pay</w:t>
      </w:r>
    </w:p>
    <w:p>
      <w:r>
        <w:rPr>
          <w:color w:val="6B7280"/>
          <w:sz w:val="16"/>
        </w:rPr>
        <w:t>Lakeshore Holdings · Owner: Sofia Marchetti · Source: Coupa · As of: 2026-06-06 · Sensitivity: Internal</w:t>
      </w:r>
    </w:p>
    <w:p>
      <w:pPr>
        <w:pStyle w:val="Heading1"/>
      </w:pPr>
      <w:r>
        <w:t>Process steps</w:t>
      </w:r>
    </w:p>
    <w:p>
      <w:pPr>
        <w:pStyle w:val="ListBullet"/>
      </w:pPr>
      <w:r>
        <w:t>Trigger and intake for procure-to-pay.</w:t>
      </w:r>
    </w:p>
    <w:p>
      <w:pPr>
        <w:pStyle w:val="ListBullet"/>
      </w:pPr>
      <w:r>
        <w:t>Hand-offs across shared services and BUs.</w:t>
      </w:r>
    </w:p>
    <w:p>
      <w:pPr>
        <w:pStyle w:val="ListBullet"/>
      </w:pPr>
      <w:r>
        <w:t>Controls and approvals embedded.</w:t>
      </w:r>
    </w:p>
    <w:p>
      <w:pPr>
        <w:pStyle w:val="ListBullet"/>
      </w:pPr>
      <w:r>
        <w:t>Known bottlenecks and automation candidates.</w:t>
      </w:r>
    </w:p>
    <w:p>
      <w:pPr>
        <w:pStyle w:val="Heading1"/>
      </w:pPr>
      <w:r>
        <w:t>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</w:tr>
      <w:tr>
        <w:tc>
          <w:tcPr>
            <w:tcW w:type="dxa" w:w="2880"/>
          </w:tcPr>
          <w:p>
            <w:r>
              <w:t>Manual touches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-50%</w:t>
            </w:r>
          </w:p>
        </w:tc>
      </w:tr>
      <w:tr>
        <w:tc>
          <w:tcPr>
            <w:tcW w:type="dxa" w:w="2880"/>
          </w:tcPr>
          <w:p>
            <w:r>
              <w:t>Exception rate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-25%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operations_business_process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Procure-to-Pay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operations_business_process</cp:category>
</cp:coreProperties>
</file>