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AMS RFP Requirements</w:t>
      </w:r>
    </w:p>
    <w:p>
      <w:r>
        <w:rPr>
          <w:color w:val="6B7280"/>
          <w:sz w:val="16"/>
        </w:rPr>
        <w:t>Lakeshore Holdings · Owner: Tomas Halvorsen · Source: Coupa · As of: 2026-06-06 · Sensitivity: Internal</w:t>
      </w:r>
    </w:p>
    <w:p>
      <w:pPr>
        <w:pStyle w:val="Heading1"/>
      </w:pPr>
      <w:r>
        <w:t>Scope</w:t>
      </w:r>
    </w:p>
    <w:p>
      <w:pPr>
        <w:pStyle w:val="ListBullet"/>
      </w:pPr>
      <w:r>
        <w:t>L2/L3 application support</w:t>
      </w:r>
    </w:p>
    <w:p>
      <w:pPr>
        <w:pStyle w:val="ListBullet"/>
      </w:pPr>
      <w:r>
        <w:t>Enhancements pool</w:t>
      </w:r>
    </w:p>
    <w:p>
      <w:pPr>
        <w:pStyle w:val="ListBullet"/>
      </w:pPr>
      <w:r>
        <w:t>Kyriba run support</w:t>
      </w:r>
    </w:p>
    <w:p>
      <w:pPr>
        <w:pStyle w:val="ListBullet"/>
      </w:pPr>
      <w:r>
        <w:t>Reporting support</w:t>
      </w:r>
    </w:p>
    <w:p>
      <w:pPr>
        <w:pStyle w:val="ListBullet"/>
      </w:pPr>
      <w:r>
        <w:t>SLA &amp; penalties</w:t>
      </w:r>
    </w:p>
    <w:p>
      <w:pPr>
        <w:pStyle w:val="ListBullet"/>
      </w:pPr>
      <w:r>
        <w:t>Continuous improvement</w:t>
      </w:r>
    </w:p>
    <w:p>
      <w:pPr>
        <w:pStyle w:val="Heading1"/>
      </w:pPr>
      <w:r>
        <w:t>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Delivery model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Innovation/AI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vendors_contracts_source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 RFP Requirements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vendors_contracts_source</cp:category>
</cp:coreProperties>
</file>