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Reporting Rationalization Use Case</w:t>
      </w:r>
    </w:p>
    <w:p>
      <w:r>
        <w:rPr>
          <w:color w:val="6B7280"/>
          <w:sz w:val="16"/>
        </w:rPr>
        <w:t>Lakeshore Holdings · Owner: Aisha Bello · Source: Power BI · As of: 2026-06-06 · Sensitivity: Internal</w:t>
      </w:r>
    </w:p>
    <w:p>
      <w:pPr>
        <w:pStyle w:val="Heading1"/>
      </w:pPr>
      <w:r>
        <w:t>Approach</w:t>
      </w:r>
    </w:p>
    <w:p>
      <w:pPr>
        <w:pStyle w:val="ListBullet"/>
      </w:pPr>
      <w:r>
        <w:t>AI-assisted usage analysis</w:t>
      </w:r>
    </w:p>
    <w:p>
      <w:pPr>
        <w:pStyle w:val="ListBullet"/>
      </w:pPr>
      <w:r>
        <w:t>Duplicate metric detection</w:t>
      </w:r>
    </w:p>
    <w:p>
      <w:pPr>
        <w:pStyle w:val="ListBullet"/>
      </w:pPr>
      <w:r>
        <w:t>Auto-generated semantic mappings</w:t>
      </w:r>
    </w:p>
    <w:p>
      <w:pPr>
        <w:pStyle w:val="ListBullet"/>
      </w:pPr>
      <w:r>
        <w:t>Self-serve certified metrics</w:t>
      </w:r>
    </w:p>
    <w:p>
      <w:pPr>
        <w:pStyle w:val="Heading1"/>
      </w:pPr>
      <w:r>
        <w:t>Value</w:t>
      </w:r>
    </w:p>
    <w:p>
      <w:r>
        <w:t>55% manual reporting effort reduction; 320 → 140 managed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ai_use_cases_moves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Rationalization Use Case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ai_use_cases_moves</cp:category>
</cp:coreProperties>
</file>