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Costed business-case pack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Fraud Detection Enhancement — First Capital Financial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first-capital · Move ref first-capital:move:FC-FRAUD-2026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full Design &amp; Plan business case: costed roadmap, value-and-effort profile and the human+agent RACI, in CFO-readable prose.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Design &amp; Plan — costed business-case pack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Fraud Detection Enhancement (first-capital)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once they are resolved. Re-shape the Move to close them.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Investment &amp; return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(costed roadmap)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$1,587,595 – $2,614,863 (base $1,867,759)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-$1,312,023 – $3,334,245 (base $1,244,581)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AI-build vs. business-change effort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AI-build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$1,418,512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$449,248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share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24%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Business change is 24% of effort — a credible build-vs-change balance for an AI Move where value depends on people changing how they work.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Costed roadmap — per-phase investment &amp; value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Phase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Cumulative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Annual value unlocked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Foundational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0 — Data &amp; model platform foundation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$232,608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$232,608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 — enablement only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1 — Detection-model build on card fraud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$1,024,262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$1,256,869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$466,851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2 — Disposition automation + process redesign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$117,289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$1,374,158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$311,234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3 — Adoption + run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$493,601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$1,867,759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$259,362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Three-scenario sensitivity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value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return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$1,867,759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$3,112,340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$1,244,581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Conservative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$2,614,863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$1,302,840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-$1,312,023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Upside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$1,587,595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$4,921,840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$3,334,245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</w:tbl>
    <w:p>
      <w:pPr>
        <w:spacing w:after="40" w:before="6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Downside read: </w:t>
      </w:r>
      <w:r>
        <w:rPr>
          <w:rFonts w:ascii="Inter" w:cs="Inter" w:eastAsia="Inter" w:hAnsi="Inter"/>
          <w:sz w:val="22"/>
          <w:szCs w:val="22"/>
        </w:rPr>
        <w:t xml:space="preserve">The conservative case cannot be expressed in hard dollars — the value rests on a seed-gap proxy. Close the baseline gap before reading the downside as a number.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Human + agent RACI — decision rights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RACI matrix passes every honesty rule — it is governable as drawn.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Decision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Kind</w:t>
            </w:r>
          </w:p>
        </w:tc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Accountable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funding for the Move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James Park (CRO, 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David Chen (Risk Technology, Program Manager)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Select the detection-model architecture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 Architect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Solution-Design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Clear model-risk governance + OCC MRA control review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James Park (CRO, 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BSA Officer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Execute the detection-model build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David Chen (Risk Technology, Program Manager)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Build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expansion from card to real-time payment fraud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James Park (CRO, 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Patricia Huang (CIO)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Own the disposition-automation and analyst change plan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David Chen (Risk Technology, Program Manager)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BSA Officer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Surfaced flags — roadmap, RACI, critic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[critic/blocker] 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Downside net value (1302840) is below conservative effort (2614863.13) — in the pessimistic case the Move does not pay back. The CFO will ask what protects the floor.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baseline metric(s) are seed gaps (coverage 73%): Fraud-analyst FTE cost basis, Fraud alert volume / cost-per-alert, False-positive operational cost.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of the top-3 case-moving assumptions stand in for absent tenant data (alert_volume, false_positive_cost, fraud_analyst_fte_cost).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alert_volume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Annual fraud alert volume is a modeled proxy (~120k alerts/yr for a bank of First Capital's scale) — used only to express review load.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David Chen (Risk Technology)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false_positive_cost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Each false-positive investigation costs a modeled ~$18 of analyst time — no per-alert handling cost is seeded.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James Park (CRO)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fraud_analyst_fte_cost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fraud-analyst FTE cost is a modeled proxy (~$135k/yr) until First Capital Finance attests a figure.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Michael Torres (CFO) · confidence: low · sensitivity impact: high · source: Modeled proxy — seed gap (Finance attestation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fraud_loss_takeout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The detection-model enhancement closes card fraud losses from $2.1M toward the $1.2M peer median — a $0.9M/yr loss-avoidance ceiling.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James Park (CRO) · confidence: medium · sensitivity impact: high · source: KPI fc-kpi-012 committed target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realtime_payment_expansion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Expanding fraud detection from card to real-time payment fraud after FedNow go-live roughly doubles the addressable fraud-loss surface.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Patricia Huang (CIO) · confidence: medium · sensitivity impact: medium · source: Program inventory FC-FRAUD-2026 next-gate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the ML and risk-technology roles in the estimate.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Patricia Huang (CIO)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(-1312023.13).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3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kill_fraud_loss_floor: </w:t>
      </w:r>
      <w:r>
        <w:rPr>
          <w:rFonts w:ascii="Inter" w:cs="Inter" w:eastAsia="Inter" w:hAnsi="Inter"/>
          <w:sz w:val="22"/>
          <w:szCs w:val="22"/>
        </w:rPr>
        <w:t xml:space="preserve">Card fraud losses stall above the $1.8M Q1 run-rate — the detection model has stopped converging on the $1.2M peer-median target.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kill_realtime_expansion_blocked: </w:t>
      </w:r>
      <w:r>
        <w:rPr>
          <w:rFonts w:ascii="Inter" w:cs="Inter" w:eastAsia="Inter" w:hAnsi="Inter"/>
          <w:sz w:val="22"/>
          <w:szCs w:val="22"/>
        </w:rPr>
        <w:t xml:space="preserve">FedNow go-live slips far enough that the real-time payment fraud expansion — the larger value pool — cannot be reached in horizon.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Card fraud annualized losses: </w:t>
      </w:r>
      <w:r>
        <w:rPr>
          <w:rFonts w:ascii="Inter" w:cs="Inter" w:eastAsia="Inter" w:hAnsi="Inter"/>
          <w:sz w:val="22"/>
          <w:szCs w:val="22"/>
        </w:rPr>
        <w:t xml:space="preserve">baseline 2100000 → target 1200000 usd_per_year. Measurable now from the fraud-loss ledger; the current run-rate is $1.8M (fc-kpi-022). The committed loss-avoidance target.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AML automated disposition rate: </w:t>
      </w:r>
      <w:r>
        <w:rPr>
          <w:rFonts w:ascii="Inter" w:cs="Inter" w:eastAsia="Inter" w:hAnsi="Inter"/>
          <w:sz w:val="22"/>
          <w:szCs w:val="22"/>
        </w:rPr>
        <w:t xml:space="preserve">baseline 34 → target 60 percent. Measurable from the case-management system. Carry the caveat that this metric is shared with the adjacent FC-AML-2026 program.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SAR filings past deadline: </w:t>
      </w:r>
      <w:r>
        <w:rPr>
          <w:rFonts w:ascii="Inter" w:cs="Inter" w:eastAsia="Inter" w:hAnsi="Inter"/>
          <w:sz w:val="22"/>
          <w:szCs w:val="22"/>
        </w:rPr>
        <w:t xml:space="preserve">baseline 8 → target 0 percent. Measurable from the BSA/AML filing log; no gap.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Fraud-analyst FTE cost basis: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usd_per_fte_per_year. SEED GAP — manual-review-cost takeout cannot be verified in dollars until First Capital Finance attests a fully-loaded fraud-analyst FTE cost. Tower cannot confirm that value component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Costed business-case pack · Fraud Detection Enhancement</dc:title>
  <dc:creator>AbarVa · Moves</dc:creator>
  <dc:description>The full Design &amp; Plan business case: costed roadmap, value-and-effort profile and the human+agent RACI, in CFO-readable prose.</dc:description>
  <cp:lastModifiedBy>Un-named</cp:lastModifiedBy>
  <cp:revision>1</cp:revision>
  <dcterms:created xsi:type="dcterms:W3CDTF">2026-05-20T01:44:02.797Z</dcterms:created>
  <dcterms:modified xsi:type="dcterms:W3CDTF">2026-05-20T01:44:02.797Z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