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Discover brief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Fraud Detection Enhancement — First Capital Financial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first-capital · Move ref first-capital:move:FC-FRAUD-2026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Problem statement, current-state baseline (with source and seed gaps), opportunity sizing and the go/no-go read.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Discover — problem, baseline, opportunity, go/no-go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Fraud Detection Enhancement (first-capital)</w:t>
      </w:r>
    </w:p>
    <w:p>
      <w:pPr>
        <w:shd w:fill="FFF4D6" w:color="auto" w:val="clear"/>
        <w:spacing w:after="80" w:before="80" w:line="300"/>
        <w:ind w:left="120" w:right="120"/>
      </w:pPr>
      <w:r>
        <w:rPr>
          <w:rFonts w:ascii="Inter" w:cs="Inter" w:eastAsia="Inter" w:hAnsi="Inter"/>
          <w:color w:val="7A5800"/>
          <w:sz w:val="22"/>
          <w:szCs w:val="22"/>
        </w:rPr>
        <w:t xml:space="preserve">Discover establishes the current state honestly before any solution is shaped. The opportunity can only be stated as far as the recorded baseline allows; declared seed gaps bound it.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73% of metrics are recorded; 3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Card fraud annualized losses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2100000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fc-kpi-012 (Fraud Detection Enhancement program baseline)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Card fraud losses — peer median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fc-kpi-012 peer benchmark (Fraud Detection Enhancement baseline)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benchmark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Annual fraud losses (all channels)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7000000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fc-kpi-011 (Fraud loss benchmark 2025)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2025-12-31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AML false-positive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94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fc-kpi-013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AML automated disposition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fc-kpi-014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 filings past deadline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fc-kpi-015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investment (committed)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1800000 usd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inventory FC-FRAUD-2026 (active_programs.json)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2026-05-10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Fraud detection current run-rate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fc-kpi-022 (Fraud Detection Enhancement Q1 2026)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Fraud-analyst FTE cost basis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 alert volume / cost-per-alert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False-positive operational cost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Seed gaps — declared, not fabricated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These inputs are not recorded in the tenant substrate. The kernel declares each one and does not invent a value for 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Fraud-analyst FTE cost basis: </w:t>
      </w:r>
      <w:r>
        <w:rPr>
          <w:rFonts w:ascii="Inter" w:cs="Inter" w:eastAsia="Inter" w:hAnsi="Inter"/>
          <w:sz w:val="22"/>
          <w:szCs w:val="22"/>
        </w:rPr>
        <w:t xml:space="preserve">Not recorded in the KPI dictionary or the program inventory. The manual-review reduction lever depends on a fully-loaded fraud-analyst FTE cost to convert disposition-automation gains into dollars.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 alert volume / cost-per-alert: </w:t>
      </w:r>
      <w:r>
        <w:rPr>
          <w:rFonts w:ascii="Inter" w:cs="Inter" w:eastAsia="Inter" w:hAnsi="Inter"/>
          <w:sz w:val="22"/>
          <w:szCs w:val="22"/>
        </w:rPr>
        <w:t xml:space="preserve">Not recorded. Annual alert volume and a per-alert handling cost are needed to size the operational efficiency of a detection-model uplift. Neither is in the seeded substrate.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False-positive operational cost: </w:t>
      </w:r>
      <w:r>
        <w:rPr>
          <w:rFonts w:ascii="Inter" w:cs="Inter" w:eastAsia="Inter" w:hAnsi="Inter"/>
          <w:sz w:val="22"/>
          <w:szCs w:val="22"/>
        </w:rPr>
        <w:t xml:space="preserve">Not recorded. The 94% AML false-positive rate (fc-kpi-013) is measured, but the dollar cost of investigating those false positives is not seeded. Modeled, not measured.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Opportunity &amp; go/no-go read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$1,587,595 – $2,614,863 (base $1,867,759)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-$1,312,023 – $3,334,245 (base $1,244,581)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$1,302,840 – $4,921,840 (base $3,112,340)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brief · Fraud Detection Enhancement</dc:title>
  <dc:creator>AbarVa · Moves</dc:creator>
  <dc:description>Problem statement, current-state baseline (with source and seed gaps), opportunity sizing and the go/no-go read.</dc:description>
  <cp:lastModifiedBy>Un-named</cp:lastModifiedBy>
  <cp:revision>1</cp:revision>
  <dcterms:created xsi:type="dcterms:W3CDTF">2026-05-20T01:44:02.716Z</dcterms:created>
  <dcterms:modified xsi:type="dcterms:W3CDTF">2026-05-20T01:44:02.716Z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