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Mobilize &amp; go-decision packet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Fraud Detection Enhancement — First Capital Financial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first-capital · Move ref first-capital:move:FC-FRAUD-2026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mobilization plan, adoption &amp; change approach, the value-measurement model handed to Tower and the go-decision pack.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Mobilize &amp; Handoff — adoption, measurement, go-decision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Fraud Detection Enhancement (first-capital)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Go-decision: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NO GO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No-go: 2 Mobilize kill trigger(s) fired (measurement_unwired, business_case_blocker_open). The Move is not ready to leave Moves. See the fix-conditions for what must change before it is reconsidered.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Mobilize readiness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Owned (named operating-model owner)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Adoptable (change approach supports the curve)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Measurable (value loop closes to Tower)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Operating-model owner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David Chen (Risk Technology, Program Manager)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Overall change load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Adoption confidence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pct" w:w="4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Hypercare window</w:t>
            </w:r>
          </w:p>
        </w:tc>
        <w:tc>
          <w:tcPr>
            <w:tcW w:type="pct" w:w="5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 week(s)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Fired kill triggers — verbatim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1 committed value metric(s) cannot be wired to a recorded baseline: Fraud-analyst FTE cost basis.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The business-case critic has 1 open blocker(s): cfo_monetisation_blocked.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Fix-condition: 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Conditions to clear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measurement_unwired: </w:t>
      </w:r>
      <w:r>
        <w:rPr>
          <w:rFonts w:ascii="Inter" w:cs="Inter" w:eastAsia="Inter" w:hAnsi="Inter"/>
          <w:sz w:val="22"/>
          <w:szCs w:val="22"/>
        </w:rPr>
        <w:t xml:space="preserve">Revisit when every committed metric is wired to a Discover baseline value or an owned, dated plan to capture 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business_case_blocker_open: </w:t>
      </w:r>
      <w:r>
        <w:rPr>
          <w:rFonts w:ascii="Inter" w:cs="Inter" w:eastAsia="Inter" w:hAnsi="Inter"/>
          <w:sz w:val="22"/>
          <w:szCs w:val="22"/>
        </w:rPr>
        <w:t xml:space="preserve">Revisit when the business-case critic reports no open blocker.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&amp; change approach — seven dimensions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Magnitude</w:t>
            </w:r>
          </w:p>
        </w:tc>
        <w:tc>
          <w:tcPr>
            <w:tcW w:type="pct" w:w="4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Recommendation</w:t>
            </w:r>
          </w:p>
        </w:tc>
        <w:tc>
          <w:tcPr>
            <w:tcW w:type="pct" w:w="2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impacted_roles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Three roles change; the fraud-analyst role changes most. Stage the rollout by alert segment, leading with card fraud.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Manager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process_variance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Disposition logic varies case handling materially; the process-redesign workstream must land before the change rollout (it is budgeted in the Design &amp; Plan estimate).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Manager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training_load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Role-based training: a model-output-interpretation curriculum for analysts, a lighter curriculum for managers and BSA staff.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Enablement Lead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incentive_change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Re-point analyst performance metrics away from raw case throughput toward disposition accuracy and confirmed-fraud catch rate.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Fraud Operations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manager_adoption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Manager reinforcement is the highest-risk layer. A dedicated manager-enablement track with explicit reinforcement in the hypercare window.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Fraud Operations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communications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Address the analyst narrative directly — the model triages and prioritises; it augments analyst judgement under model-risk governance, it does not replace the analyst.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Manager</w:t>
            </w:r>
          </w:p>
        </w:tc>
      </w:tr>
      <w:tr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hypercare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moderate</w:t>
            </w:r>
          </w:p>
        </w:tc>
        <w:tc>
          <w:tcPr>
            <w:tcW w:type="pct" w:w="4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 6-week hypercare window with elevated model-monitoring support and a daily disposition-quality review; exit when the automated disposition rate and catch rate hold for two consecutive weeks.</w:t>
            </w:r>
          </w:p>
        </w:tc>
        <w:tc>
          <w:tcPr>
            <w:tcW w:type="pct" w:w="2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Manager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Impacted roles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Role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Headcount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Change</w:t>
            </w:r>
          </w:p>
        </w:tc>
        <w:tc>
          <w:tcPr>
            <w:tcW w:type="pct" w:w="4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 analyst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high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Analysts move from manually dispositioning a high-false-positive alert queue to reviewing model-prioritised, auto-dispositioned cases.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 operations manager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Managers coach to the new disposition-automation metrics and monitor the model-decision queue.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BSA / AML compliance officer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moderate</w:t>
            </w:r>
          </w:p>
        </w:tc>
        <w:tc>
          <w:tcPr>
            <w:tcW w:type="pct" w:w="4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SAR filing workflow re-baselined around the faster, model-prioritised case flow under continued OCC MRA scrutiny.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Adoption risks — surfaced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[concern] adoption_manager_layer_heavy: </w:t>
      </w:r>
      <w:r>
        <w:rPr>
          <w:rFonts w:ascii="Inter" w:cs="Inter" w:eastAsia="Inter" w:hAnsi="Inter"/>
          <w:sz w:val="22"/>
          <w:szCs w:val="22"/>
        </w:rPr>
        <w:t xml:space="preserve">Manager adoption is a high-magnitude change. Adoption fails at the manager layer more than anywhere else — manager reinforcement must be explicitly resourced, not assumed.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adoption_headcount_gap_fraud_analyst: </w:t>
      </w:r>
      <w:r>
        <w:rPr>
          <w:rFonts w:ascii="Inter" w:cs="Inter" w:eastAsia="Inter" w:hAnsi="Inter"/>
          <w:sz w:val="22"/>
          <w:szCs w:val="22"/>
        </w:rPr>
        <w:t xml:space="preserve">Impacted headcount for 'Fraud analyst'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adoption_headcount_gap_fraud_operations_manager: </w:t>
      </w:r>
      <w:r>
        <w:rPr>
          <w:rFonts w:ascii="Inter" w:cs="Inter" w:eastAsia="Inter" w:hAnsi="Inter"/>
          <w:sz w:val="22"/>
          <w:szCs w:val="22"/>
        </w:rPr>
        <w:t xml:space="preserve">Impacted headcount for 'Fraud operations manager'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adoption_headcount_gap_bsa_aml_compliance_officer: </w:t>
      </w:r>
      <w:r>
        <w:rPr>
          <w:rFonts w:ascii="Inter" w:cs="Inter" w:eastAsia="Inter" w:hAnsi="Inter"/>
          <w:sz w:val="22"/>
          <w:szCs w:val="22"/>
        </w:rPr>
        <w:t xml:space="preserve">Impacted headcount for 'BSA / AML compliance officer' is not recorded — training load and communications scale cannot be sized precisely.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adoption_seed_gap_impacted_roles: </w:t>
      </w:r>
      <w:r>
        <w:rPr>
          <w:rFonts w:ascii="Inter" w:cs="Inter" w:eastAsia="Inter" w:hAnsi="Inter"/>
          <w:sz w:val="22"/>
          <w:szCs w:val="22"/>
        </w:rPr>
        <w:t xml:space="preserve">The 'Impacted roles' assessment rests on a benchmark proxy / seed gap, not tenant data — validate it before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[note] adoption_seed_gap_training_load: </w:t>
      </w:r>
      <w:r>
        <w:rPr>
          <w:rFonts w:ascii="Inter" w:cs="Inter" w:eastAsia="Inter" w:hAnsi="Inter"/>
          <w:sz w:val="22"/>
          <w:szCs w:val="22"/>
        </w:rPr>
        <w:t xml:space="preserve">The 'Training load' assessment rests on a benchmark proxy / seed gap, not tenant data — validate it before the gate.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Value-measurement model — handed to Tower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3 of 4 metric(s) wired to a recorded baseline (coverage 75%). Value loop closes: NO.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6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Baseline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Target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Cadence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Card fraud annualized losses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2100000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1200000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CRO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AML automated disposition rate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34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Fraud Operations</w:t>
            </w:r>
          </w:p>
        </w:tc>
      </w:tr>
      <w:tr>
        <w:tc>
          <w:tcPr>
            <w:tcW w:type="pct" w:w="2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 filings past deadline</w:t>
            </w:r>
          </w:p>
        </w:tc>
        <w:tc>
          <w:tcPr>
            <w:tcW w:type="pct" w:w="16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monthly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BSA Officer</w:t>
            </w:r>
          </w:p>
        </w:tc>
      </w:tr>
      <w:tr>
        <w:tc>
          <w:tcPr>
            <w:tcW w:type="pct" w:w="2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Fraud-analyst FTE cost basis</w:t>
            </w:r>
          </w:p>
        </w:tc>
        <w:tc>
          <w:tcPr>
            <w:tcW w:type="pct" w:w="16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quarterly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CFO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cfo] cfo_downside_underwater: </w:t>
      </w:r>
      <w:r>
        <w:rPr>
          <w:rFonts w:ascii="Inter" w:cs="Inter" w:eastAsia="Inter" w:hAnsi="Inter"/>
          <w:sz w:val="22"/>
          <w:szCs w:val="22"/>
        </w:rPr>
        <w:t xml:space="preserve">Downside net value (1302840) is below conservative effort (2614863.13) — in the pessimistic case the Move does not pay back. The CFO will ask what protects the floor.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3 baseline metric(s) are seed gaps (coverage 73%): Fraud-analyst FTE cost basis, Fraud alert volume / cost-per-alert, False-positive operational cost.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3 of the top-3 case-moving assumptions stand in for absent tenant data (alert_volume, false_positive_cost, fraud_analyst_fte_cost). Validating these is the highest-leverage next step.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Mobilize &amp; go-decision packet · Fraud Detection Enhancement</dc:title>
  <dc:creator>AbarVa · Moves</dc:creator>
  <dc:description>The mobilization plan, adoption &amp; change approach, the value-measurement model handed to Tower and the go-decision pack.</dc:description>
  <cp:lastModifiedBy>Un-named</cp:lastModifiedBy>
  <cp:revision>1</cp:revision>
  <dcterms:created xsi:type="dcterms:W3CDTF">2026-05-20T01:44:02.917Z</dcterms:created>
  <dcterms:modified xsi:type="dcterms:W3CDTF">2026-05-20T01:44:02.917Z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