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240"/>
      </w:pPr>
      <w:r>
        <w:rPr>
          <w:rFonts w:ascii="Inter" w:cs="Inter" w:eastAsia="Inter" w:hAnsi="Inter"/>
          <w:b/>
          <w:bCs/>
          <w:color w:val="706D66"/>
          <w:spacing w:val="12"/>
          <w:sz w:val="18"/>
          <w:szCs w:val="18"/>
        </w:rPr>
        <w:t xml:space="preserve">ABARVA · MOVES · EXPERT KERNEL</w:t>
      </w:r>
    </w:p>
    <w:p>
      <w:pPr>
        <w:spacing w:after="160" w:before="240" w:line="360"/>
        <w:jc w:val="left"/>
      </w:pPr>
      <w:r>
        <w:rPr>
          <w:rFonts w:ascii="Fraunces" w:cs="Fraunces" w:eastAsia="Fraunces" w:hAnsi="Fraunces"/>
          <w:color w:val="0C1A3A"/>
          <w:sz w:val="44"/>
          <w:szCs w:val="44"/>
        </w:rPr>
        <w:t xml:space="preserve">Discover brief</w:t>
      </w:r>
    </w:p>
    <w:p>
      <w:pPr>
        <w:spacing w:after="60" w:before="0"/>
      </w:pPr>
      <w:r>
        <w:rPr>
          <w:rFonts w:ascii="Inter" w:cs="Inter" w:eastAsia="Inter" w:hAnsi="Inter"/>
          <w:color w:val="706D66"/>
          <w:sz w:val="22"/>
          <w:szCs w:val="22"/>
        </w:rPr>
        <w:t xml:space="preserve">Ambient Clinical Value Chain Activation — Meridian Health System</w:t>
      </w:r>
    </w:p>
    <w:p>
      <w:pPr>
        <w:spacing w:after="60" w:before="0"/>
      </w:pPr>
      <w:r>
        <w:rPr>
          <w:rFonts w:ascii="Inter" w:cs="Inter" w:eastAsia="Inter" w:hAnsi="Inter"/>
          <w:color w:val="706D66"/>
          <w:sz w:val="22"/>
          <w:szCs w:val="22"/>
        </w:rPr>
        <w:t xml:space="preserve">Tenant key meridian-health · Move ref meridian:move:ambient-clinical-value-chain-activation</w:t>
      </w:r>
    </w:p>
    <w:p>
      <w:pPr>
        <w:spacing w:after="60" w:before="0"/>
      </w:pPr>
      <w:r>
        <w:rPr>
          <w:rFonts w:ascii="Inter" w:cs="Inter" w:eastAsia="Inter" w:hAnsi="Inter"/>
          <w:color w:val="706D66"/>
          <w:sz w:val="22"/>
          <w:szCs w:val="22"/>
        </w:rPr>
        <w:t xml:space="preserve">Generated 2026-05-20</w:t>
      </w:r>
    </w:p>
    <w:p>
      <w:pPr>
        <w:spacing w:after="80" w:before="120"/>
      </w:pPr>
      <w:r>
        <w:rPr>
          <w:rFonts w:ascii="Inter" w:cs="Inter" w:eastAsia="Inter" w:hAnsi="Inter"/>
          <w:i/>
          <w:iCs/>
          <w:color w:val="706D66"/>
          <w:sz w:val="22"/>
          <w:szCs w:val="22"/>
        </w:rPr>
        <w:t xml:space="preserve">Problem statement, current-state baseline (with source and seed gaps), opportunity sizing and the go/no-go read.</w:t>
      </w:r>
    </w:p>
    <w:p>
      <w:pPr>
        <w:pStyle w:val="Heading1"/>
        <w:spacing w:after="120" w:before="360"/>
      </w:pPr>
      <w:r>
        <w:rPr>
          <w:rFonts w:ascii="Inter" w:cs="Inter" w:eastAsia="Inter" w:hAnsi="Inter"/>
          <w:b/>
          <w:bCs/>
          <w:color w:val="0C1A3A"/>
          <w:sz w:val="32"/>
          <w:szCs w:val="32"/>
        </w:rPr>
        <w:t xml:space="preserve">Discover — problem, baseline, opportunity, go/no-go</w:t>
      </w:r>
    </w:p>
    <w:p>
      <w:pPr>
        <w:spacing w:after="80" w:before="80" w:line="320"/>
      </w:pPr>
      <w:r>
        <w:rPr>
          <w:rFonts w:ascii="Inter" w:cs="Inter" w:eastAsia="Inter" w:hAnsi="Inter"/>
          <w:b/>
          <w:bCs/>
          <w:sz w:val="22"/>
          <w:szCs w:val="22"/>
        </w:rPr>
        <w:t xml:space="preserve">Move: </w:t>
      </w:r>
      <w:r>
        <w:rPr>
          <w:rFonts w:ascii="Inter" w:cs="Inter" w:eastAsia="Inter" w:hAnsi="Inter"/>
          <w:sz w:val="22"/>
          <w:szCs w:val="22"/>
        </w:rPr>
        <w:t xml:space="preserve">Ambient Clinical Value Chain Activation (meridian-health)</w:t>
      </w:r>
    </w:p>
    <w:p>
      <w:pPr>
        <w:shd w:fill="FFF4D6" w:color="auto" w:val="clear"/>
        <w:spacing w:after="80" w:before="80" w:line="300"/>
        <w:ind w:left="120" w:right="120"/>
      </w:pPr>
      <w:r>
        <w:rPr>
          <w:rFonts w:ascii="Inter" w:cs="Inter" w:eastAsia="Inter" w:hAnsi="Inter"/>
          <w:color w:val="7A5800"/>
          <w:sz w:val="22"/>
          <w:szCs w:val="22"/>
        </w:rPr>
        <w:t xml:space="preserve">Discover establishes the current state honestly before any solution is shaped. The opportunity can only be stated as far as the recorded baseline allows; declared seed gaps bound it.</w:t>
      </w:r>
    </w:p>
    <w:p>
      <w:pPr>
        <w:pStyle w:val="Heading2"/>
        <w:spacing w:after="100" w:before="280"/>
      </w:pPr>
      <w:r>
        <w:rPr>
          <w:rFonts w:ascii="Inter" w:cs="Inter" w:eastAsia="Inter" w:hAnsi="Inter"/>
          <w:b/>
          <w:bCs/>
          <w:color w:val="0C1A3A"/>
          <w:sz w:val="26"/>
          <w:szCs w:val="26"/>
        </w:rPr>
        <w:t xml:space="preserve">Current-state baseline</w:t>
      </w:r>
    </w:p>
    <w:p>
      <w:pPr>
        <w:spacing w:after="80" w:before="80" w:line="320"/>
      </w:pPr>
      <w:r>
        <w:rPr>
          <w:rFonts w:ascii="Inter" w:cs="Inter" w:eastAsia="Inter" w:hAnsi="Inter"/>
          <w:sz w:val="22"/>
          <w:szCs w:val="22"/>
        </w:rPr>
        <w:t xml:space="preserve">Coverage: 75% of metrics are recorded; 3 declared seed gap(s). Every recorded figure carries its source.</w:t>
      </w:r>
    </w:p>
    <w:p>
      <w:pPr>
        <w:spacing w:before="60"/>
      </w:pPr>
    </w:p>
    <w:p>
      <w:pPr>
        <w:spacing w:after="60"/>
      </w:pPr>
    </w:p>
    <w:tbl>
      <w:tblPr>
        <w:tblW w:type="pct" w:w="100%"/>
        <w:tblBorders>
          <w:top w:val="single" w:color="D8D5CC" w:sz="4"/>
          <w:left w:val="single" w:color="D8D5CC" w:sz="4"/>
          <w:bottom w:val="single" w:color="D8D5CC" w:sz="4"/>
          <w:right w:val="single" w:color="D8D5CC" w:sz="4"/>
          <w:insideH w:val="single" w:color="ECE9E0" w:sz="2"/>
          <w:insideV w:val="single" w:color="ECE9E0" w:sz="2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24%"/>
            <w:shd w:fill="0C1A3A" w:color="auto" w:val="clear"/>
          </w:tcPr>
          <w:p>
            <w:pPr>
              <w:spacing w:after="60" w:before="60"/>
              <w:jc w:val="left"/>
            </w:pPr>
            <w:r>
              <w:rPr>
                <w:rFonts w:ascii="Inter" w:cs="Inter" w:eastAsia="Inter" w:hAnsi="Inter"/>
                <w:b/>
                <w:bCs/>
                <w:color w:val="FAF7F1"/>
                <w:sz w:val="20"/>
                <w:szCs w:val="20"/>
              </w:rPr>
              <w:t xml:space="preserve">Metric</w:t>
            </w:r>
          </w:p>
        </w:tc>
        <w:tc>
          <w:tcPr>
            <w:tcW w:type="pct" w:w="18%"/>
            <w:shd w:fill="0C1A3A" w:color="auto" w:val="clear"/>
          </w:tcPr>
          <w:p>
            <w:pPr>
              <w:spacing w:after="60" w:before="60"/>
              <w:jc w:val="left"/>
            </w:pPr>
            <w:r>
              <w:rPr>
                <w:rFonts w:ascii="Inter" w:cs="Inter" w:eastAsia="Inter" w:hAnsi="Inter"/>
                <w:b/>
                <w:bCs/>
                <w:color w:val="FAF7F1"/>
                <w:sz w:val="20"/>
                <w:szCs w:val="20"/>
              </w:rPr>
              <w:t xml:space="preserve">Value</w:t>
            </w:r>
          </w:p>
        </w:tc>
        <w:tc>
          <w:tcPr>
            <w:tcW w:type="pct" w:w="30%"/>
            <w:shd w:fill="0C1A3A" w:color="auto" w:val="clear"/>
          </w:tcPr>
          <w:p>
            <w:pPr>
              <w:spacing w:after="60" w:before="60"/>
              <w:jc w:val="left"/>
            </w:pPr>
            <w:r>
              <w:rPr>
                <w:rFonts w:ascii="Inter" w:cs="Inter" w:eastAsia="Inter" w:hAnsi="Inter"/>
                <w:b/>
                <w:bCs/>
                <w:color w:val="FAF7F1"/>
                <w:sz w:val="20"/>
                <w:szCs w:val="20"/>
              </w:rPr>
              <w:t xml:space="preserve">Source</w:t>
            </w:r>
          </w:p>
        </w:tc>
        <w:tc>
          <w:tcPr>
            <w:tcW w:type="pct" w:w="14%"/>
            <w:shd w:fill="0C1A3A" w:color="auto" w:val="clear"/>
          </w:tcPr>
          <w:p>
            <w:pPr>
              <w:spacing w:after="60" w:before="60"/>
              <w:jc w:val="left"/>
            </w:pPr>
            <w:r>
              <w:rPr>
                <w:rFonts w:ascii="Inter" w:cs="Inter" w:eastAsia="Inter" w:hAnsi="Inter"/>
                <w:b/>
                <w:bCs/>
                <w:color w:val="FAF7F1"/>
                <w:sz w:val="20"/>
                <w:szCs w:val="20"/>
              </w:rPr>
              <w:t xml:space="preserve">Quality / confidence</w:t>
            </w:r>
          </w:p>
        </w:tc>
        <w:tc>
          <w:tcPr>
            <w:tcW w:type="pct" w:w="14%"/>
            <w:shd w:fill="0C1A3A" w:color="auto" w:val="clear"/>
          </w:tcPr>
          <w:p>
            <w:pPr>
              <w:spacing w:after="60" w:before="60"/>
              <w:jc w:val="left"/>
            </w:pPr>
            <w:r>
              <w:rPr>
                <w:rFonts w:ascii="Inter" w:cs="Inter" w:eastAsia="Inter" w:hAnsi="Inter"/>
                <w:b/>
                <w:bCs/>
                <w:color w:val="FAF7F1"/>
                <w:sz w:val="20"/>
                <w:szCs w:val="20"/>
              </w:rPr>
              <w:t xml:space="preserve">As of</w:t>
            </w:r>
          </w:p>
        </w:tc>
      </w:tr>
      <w:tr>
        <w:tc>
          <w:tcPr>
            <w:tcW w:type="pct" w:w="24%"/>
          </w:tcPr>
          <w:p>
            <w:pPr>
              <w:spacing w:after="40" w:before="40"/>
            </w:pPr>
            <w:r>
              <w:rPr>
                <w:rFonts w:ascii="Inter" w:cs="Inter" w:eastAsia="Inter" w:hAnsi="Inter"/>
                <w:sz w:val="20"/>
                <w:szCs w:val="20"/>
              </w:rPr>
              <w:t xml:space="preserve">Primary-care pajama time (after-hours Epic)</w:t>
            </w:r>
          </w:p>
        </w:tc>
        <w:tc>
          <w:tcPr>
            <w:tcW w:type="pct" w:w="18%"/>
          </w:tcPr>
          <w:p>
            <w:pPr>
              <w:spacing w:after="40" w:before="40"/>
            </w:pPr>
            <w:r>
              <w:rPr>
                <w:rFonts w:ascii="Inter" w:cs="Inter" w:eastAsia="Inter" w:hAnsi="Inter"/>
                <w:sz w:val="20"/>
                <w:szCs w:val="20"/>
              </w:rPr>
              <w:t xml:space="preserve">129 minutes_per_day</w:t>
            </w:r>
          </w:p>
        </w:tc>
        <w:tc>
          <w:tcPr>
            <w:tcW w:type="pct" w:w="30%"/>
          </w:tcPr>
          <w:p>
            <w:pPr>
              <w:spacing w:after="40" w:before="40"/>
            </w:pPr>
            <w:r>
              <w:rPr>
                <w:rFonts w:ascii="Inter" w:cs="Inter" w:eastAsia="Inter" w:hAnsi="Inter"/>
                <w:sz w:val="20"/>
                <w:szCs w:val="20"/>
              </w:rPr>
              <w:t xml:space="preserve">Evidence base E17 (D06 Documentation-Time Baseline · specialty decomposition)</w:t>
            </w:r>
          </w:p>
        </w:tc>
        <w:tc>
          <w:tcPr>
            <w:tcW w:type="pct" w:w="14%"/>
          </w:tcPr>
          <w:p>
            <w:pPr>
              <w:spacing w:after="40" w:before="40"/>
            </w:pPr>
            <w:r>
              <w:rPr>
                <w:rFonts w:ascii="Inter" w:cs="Inter" w:eastAsia="Inter" w:hAnsi="Inter"/>
                <w:sz w:val="20"/>
                <w:szCs w:val="20"/>
              </w:rPr>
              <w:t xml:space="preserve">measured / high</w:t>
            </w:r>
          </w:p>
        </w:tc>
        <w:tc>
          <w:tcPr>
            <w:tcW w:type="pct" w:w="14%"/>
          </w:tcPr>
          <w:p>
            <w:pPr>
              <w:spacing w:after="40" w:before="40"/>
            </w:pPr>
            <w:r>
              <w:rPr>
                <w:rFonts w:ascii="Inter" w:cs="Inter" w:eastAsia="Inter" w:hAnsi="Inter"/>
                <w:sz w:val="20"/>
                <w:szCs w:val="20"/>
              </w:rPr>
              <w:t xml:space="preserve">2026-04-23</w:t>
            </w:r>
          </w:p>
        </w:tc>
      </w:tr>
      <w:tr>
        <w:tc>
          <w:tcPr>
            <w:tcW w:type="pct" w:w="24%"/>
          </w:tcPr>
          <w:p>
            <w:pPr>
              <w:spacing w:after="40" w:before="40"/>
            </w:pPr>
            <w:r>
              <w:rPr>
                <w:rFonts w:ascii="Inter" w:cs="Inter" w:eastAsia="Inter" w:hAnsi="Inter"/>
                <w:sz w:val="20"/>
                <w:szCs w:val="20"/>
              </w:rPr>
              <w:t xml:space="preserve">MBI-HSS emotional-exhaustion burnout (elevated band)</w:t>
            </w:r>
          </w:p>
        </w:tc>
        <w:tc>
          <w:tcPr>
            <w:tcW w:type="pct" w:w="18%"/>
          </w:tcPr>
          <w:p>
            <w:pPr>
              <w:spacing w:after="40" w:before="40"/>
            </w:pPr>
            <w:r>
              <w:rPr>
                <w:rFonts w:ascii="Inter" w:cs="Inter" w:eastAsia="Inter" w:hAnsi="Inter"/>
                <w:sz w:val="20"/>
                <w:szCs w:val="20"/>
              </w:rPr>
              <w:t xml:space="preserve">54 percent</w:t>
            </w:r>
          </w:p>
        </w:tc>
        <w:tc>
          <w:tcPr>
            <w:tcW w:type="pct" w:w="30%"/>
          </w:tcPr>
          <w:p>
            <w:pPr>
              <w:spacing w:after="40" w:before="40"/>
            </w:pPr>
            <w:r>
              <w:rPr>
                <w:rFonts w:ascii="Inter" w:cs="Inter" w:eastAsia="Inter" w:hAnsi="Inter"/>
                <w:sz w:val="20"/>
                <w:szCs w:val="20"/>
              </w:rPr>
              <w:t xml:space="preserve">Evidence base E2 (D06 · MBI-HSS burnout survey wave, n=1,240)</w:t>
            </w:r>
          </w:p>
        </w:tc>
        <w:tc>
          <w:tcPr>
            <w:tcW w:type="pct" w:w="14%"/>
          </w:tcPr>
          <w:p>
            <w:pPr>
              <w:spacing w:after="40" w:before="40"/>
            </w:pPr>
            <w:r>
              <w:rPr>
                <w:rFonts w:ascii="Inter" w:cs="Inter" w:eastAsia="Inter" w:hAnsi="Inter"/>
                <w:sz w:val="20"/>
                <w:szCs w:val="20"/>
              </w:rPr>
              <w:t xml:space="preserve">measured / high</w:t>
            </w:r>
          </w:p>
        </w:tc>
        <w:tc>
          <w:tcPr>
            <w:tcW w:type="pct" w:w="14%"/>
          </w:tcPr>
          <w:p>
            <w:pPr>
              <w:spacing w:after="40" w:before="40"/>
            </w:pPr>
            <w:r>
              <w:rPr>
                <w:rFonts w:ascii="Inter" w:cs="Inter" w:eastAsia="Inter" w:hAnsi="Inter"/>
                <w:sz w:val="20"/>
                <w:szCs w:val="20"/>
              </w:rPr>
              <w:t xml:space="preserve">2026-01-12</w:t>
            </w:r>
          </w:p>
        </w:tc>
      </w:tr>
      <w:tr>
        <w:tc>
          <w:tcPr>
            <w:tcW w:type="pct" w:w="24%"/>
          </w:tcPr>
          <w:p>
            <w:pPr>
              <w:spacing w:after="40" w:before="40"/>
            </w:pPr>
            <w:r>
              <w:rPr>
                <w:rFonts w:ascii="Inter" w:cs="Inter" w:eastAsia="Inter" w:hAnsi="Inter"/>
                <w:sz w:val="20"/>
                <w:szCs w:val="20"/>
              </w:rPr>
              <w:t xml:space="preserve">HCC capture rate on the MA panel</w:t>
            </w:r>
          </w:p>
        </w:tc>
        <w:tc>
          <w:tcPr>
            <w:tcW w:type="pct" w:w="18%"/>
          </w:tcPr>
          <w:p>
            <w:pPr>
              <w:spacing w:after="40" w:before="40"/>
            </w:pPr>
            <w:r>
              <w:rPr>
                <w:rFonts w:ascii="Inter" w:cs="Inter" w:eastAsia="Inter" w:hAnsi="Inter"/>
                <w:sz w:val="20"/>
                <w:szCs w:val="20"/>
              </w:rPr>
              <w:t xml:space="preserve">58 percent</w:t>
            </w:r>
          </w:p>
        </w:tc>
        <w:tc>
          <w:tcPr>
            <w:tcW w:type="pct" w:w="30%"/>
          </w:tcPr>
          <w:p>
            <w:pPr>
              <w:spacing w:after="40" w:before="40"/>
            </w:pPr>
            <w:r>
              <w:rPr>
                <w:rFonts w:ascii="Inter" w:cs="Inter" w:eastAsia="Inter" w:hAnsi="Inter"/>
                <w:sz w:val="20"/>
                <w:szCs w:val="20"/>
              </w:rPr>
              <w:t xml:space="preserve">Evidence base E28 (D10 Benchmark Comparison · cohort scorecard)</w:t>
            </w:r>
          </w:p>
        </w:tc>
        <w:tc>
          <w:tcPr>
            <w:tcW w:type="pct" w:w="14%"/>
          </w:tcPr>
          <w:p>
            <w:pPr>
              <w:spacing w:after="40" w:before="40"/>
            </w:pPr>
            <w:r>
              <w:rPr>
                <w:rFonts w:ascii="Inter" w:cs="Inter" w:eastAsia="Inter" w:hAnsi="Inter"/>
                <w:sz w:val="20"/>
                <w:szCs w:val="20"/>
              </w:rPr>
              <w:t xml:space="preserve">measured / medium</w:t>
            </w:r>
          </w:p>
        </w:tc>
        <w:tc>
          <w:tcPr>
            <w:tcW w:type="pct" w:w="14%"/>
          </w:tcPr>
          <w:p>
            <w:pPr>
              <w:spacing w:after="40" w:before="40"/>
            </w:pPr>
            <w:r>
              <w:rPr>
                <w:rFonts w:ascii="Inter" w:cs="Inter" w:eastAsia="Inter" w:hAnsi="Inter"/>
                <w:sz w:val="20"/>
                <w:szCs w:val="20"/>
              </w:rPr>
              <w:t xml:space="preserve">2026-02-26</w:t>
            </w:r>
          </w:p>
        </w:tc>
      </w:tr>
      <w:tr>
        <w:tc>
          <w:tcPr>
            <w:tcW w:type="pct" w:w="24%"/>
          </w:tcPr>
          <w:p>
            <w:pPr>
              <w:spacing w:after="40" w:before="40"/>
            </w:pPr>
            <w:r>
              <w:rPr>
                <w:rFonts w:ascii="Inter" w:cs="Inter" w:eastAsia="Inter" w:hAnsi="Inter"/>
                <w:sz w:val="20"/>
                <w:szCs w:val="20"/>
              </w:rPr>
              <w:t xml:space="preserve">Note turnaround (sign-to-close)</w:t>
            </w:r>
          </w:p>
        </w:tc>
        <w:tc>
          <w:tcPr>
            <w:tcW w:type="pct" w:w="18%"/>
          </w:tcPr>
          <w:p>
            <w:pPr>
              <w:spacing w:after="40" w:before="40"/>
            </w:pPr>
            <w:r>
              <w:rPr>
                <w:rFonts w:ascii="Inter" w:cs="Inter" w:eastAsia="Inter" w:hAnsi="Inter"/>
                <w:sz w:val="20"/>
                <w:szCs w:val="20"/>
              </w:rPr>
              <w:t xml:space="preserve">11.4 hours</w:t>
            </w:r>
          </w:p>
        </w:tc>
        <w:tc>
          <w:tcPr>
            <w:tcW w:type="pct" w:w="30%"/>
          </w:tcPr>
          <w:p>
            <w:pPr>
              <w:spacing w:after="40" w:before="40"/>
            </w:pPr>
            <w:r>
              <w:rPr>
                <w:rFonts w:ascii="Inter" w:cs="Inter" w:eastAsia="Inter" w:hAnsi="Inter"/>
                <w:sz w:val="20"/>
                <w:szCs w:val="20"/>
              </w:rPr>
              <w:t xml:space="preserve">Evidence base E8 (D03 Success Metric Tree · supporting metric)</w:t>
            </w:r>
          </w:p>
        </w:tc>
        <w:tc>
          <w:tcPr>
            <w:tcW w:type="pct" w:w="14%"/>
          </w:tcPr>
          <w:p>
            <w:pPr>
              <w:spacing w:after="40" w:before="40"/>
            </w:pPr>
            <w:r>
              <w:rPr>
                <w:rFonts w:ascii="Inter" w:cs="Inter" w:eastAsia="Inter" w:hAnsi="Inter"/>
                <w:sz w:val="20"/>
                <w:szCs w:val="20"/>
              </w:rPr>
              <w:t xml:space="preserve">measured / medium</w:t>
            </w:r>
          </w:p>
        </w:tc>
        <w:tc>
          <w:tcPr>
            <w:tcW w:type="pct" w:w="14%"/>
          </w:tcPr>
          <w:p>
            <w:pPr>
              <w:spacing w:after="40" w:before="40"/>
            </w:pPr>
            <w:r>
              <w:rPr>
                <w:rFonts w:ascii="Inter" w:cs="Inter" w:eastAsia="Inter" w:hAnsi="Inter"/>
                <w:sz w:val="20"/>
                <w:szCs w:val="20"/>
              </w:rPr>
              <w:t xml:space="preserve">2026-04-23</w:t>
            </w:r>
          </w:p>
        </w:tc>
      </w:tr>
      <w:tr>
        <w:tc>
          <w:tcPr>
            <w:tcW w:type="pct" w:w="24%"/>
          </w:tcPr>
          <w:p>
            <w:pPr>
              <w:spacing w:after="40" w:before="40"/>
            </w:pPr>
            <w:r>
              <w:rPr>
                <w:rFonts w:ascii="Inter" w:cs="Inter" w:eastAsia="Inter" w:hAnsi="Inter"/>
                <w:sz w:val="20"/>
                <w:szCs w:val="20"/>
              </w:rPr>
              <w:t xml:space="preserve">CDI query resolution cycle time</w:t>
            </w:r>
          </w:p>
        </w:tc>
        <w:tc>
          <w:tcPr>
            <w:tcW w:type="pct" w:w="18%"/>
          </w:tcPr>
          <w:p>
            <w:pPr>
              <w:spacing w:after="40" w:before="40"/>
            </w:pPr>
            <w:r>
              <w:rPr>
                <w:rFonts w:ascii="Inter" w:cs="Inter" w:eastAsia="Inter" w:hAnsi="Inter"/>
                <w:sz w:val="20"/>
                <w:szCs w:val="20"/>
              </w:rPr>
              <w:t xml:space="preserve">38 hours</w:t>
            </w:r>
          </w:p>
        </w:tc>
        <w:tc>
          <w:tcPr>
            <w:tcW w:type="pct" w:w="30%"/>
          </w:tcPr>
          <w:p>
            <w:pPr>
              <w:spacing w:after="40" w:before="40"/>
            </w:pPr>
            <w:r>
              <w:rPr>
                <w:rFonts w:ascii="Inter" w:cs="Inter" w:eastAsia="Inter" w:hAnsi="Inter"/>
                <w:sz w:val="20"/>
                <w:szCs w:val="20"/>
              </w:rPr>
              <w:t xml:space="preserve">Evidence base E8 (D03 Success Metric Tree · CDI cycle-time metric)</w:t>
            </w:r>
          </w:p>
        </w:tc>
        <w:tc>
          <w:tcPr>
            <w:tcW w:type="pct" w:w="14%"/>
          </w:tcPr>
          <w:p>
            <w:pPr>
              <w:spacing w:after="40" w:before="40"/>
            </w:pPr>
            <w:r>
              <w:rPr>
                <w:rFonts w:ascii="Inter" w:cs="Inter" w:eastAsia="Inter" w:hAnsi="Inter"/>
                <w:sz w:val="20"/>
                <w:szCs w:val="20"/>
              </w:rPr>
              <w:t xml:space="preserve">measured / medium</w:t>
            </w:r>
          </w:p>
        </w:tc>
        <w:tc>
          <w:tcPr>
            <w:tcW w:type="pct" w:w="14%"/>
          </w:tcPr>
          <w:p>
            <w:pPr>
              <w:spacing w:after="40" w:before="40"/>
            </w:pPr>
            <w:r>
              <w:rPr>
                <w:rFonts w:ascii="Inter" w:cs="Inter" w:eastAsia="Inter" w:hAnsi="Inter"/>
                <w:sz w:val="20"/>
                <w:szCs w:val="20"/>
              </w:rPr>
              <w:t xml:space="preserve">2026-04-23</w:t>
            </w:r>
          </w:p>
        </w:tc>
      </w:tr>
      <w:tr>
        <w:tc>
          <w:tcPr>
            <w:tcW w:type="pct" w:w="24%"/>
          </w:tcPr>
          <w:p>
            <w:pPr>
              <w:spacing w:after="40" w:before="40"/>
            </w:pPr>
            <w:r>
              <w:rPr>
                <w:rFonts w:ascii="Inter" w:cs="Inter" w:eastAsia="Inter" w:hAnsi="Inter"/>
                <w:sz w:val="20"/>
                <w:szCs w:val="20"/>
              </w:rPr>
              <w:t xml:space="preserve">CDI HCC-relevant query volume</w:t>
            </w:r>
          </w:p>
        </w:tc>
        <w:tc>
          <w:tcPr>
            <w:tcW w:type="pct" w:w="18%"/>
          </w:tcPr>
          <w:p>
            <w:pPr>
              <w:spacing w:after="40" w:before="40"/>
            </w:pPr>
            <w:r>
              <w:rPr>
                <w:rFonts w:ascii="Inter" w:cs="Inter" w:eastAsia="Inter" w:hAnsi="Inter"/>
                <w:sz w:val="20"/>
                <w:szCs w:val="20"/>
              </w:rPr>
              <w:t xml:space="preserve">40 queries_per_week</w:t>
            </w:r>
          </w:p>
        </w:tc>
        <w:tc>
          <w:tcPr>
            <w:tcW w:type="pct" w:w="30%"/>
          </w:tcPr>
          <w:p>
            <w:pPr>
              <w:spacing w:after="40" w:before="40"/>
            </w:pPr>
            <w:r>
              <w:rPr>
                <w:rFonts w:ascii="Inter" w:cs="Inter" w:eastAsia="Inter" w:hAnsi="Inter"/>
                <w:sz w:val="20"/>
                <w:szCs w:val="20"/>
              </w:rPr>
              <w:t xml:space="preserve">Evidence base E25 (D08/D10 · CDI-queue routing volume benchmark)</w:t>
            </w:r>
          </w:p>
        </w:tc>
        <w:tc>
          <w:tcPr>
            <w:tcW w:type="pct" w:w="14%"/>
          </w:tcPr>
          <w:p>
            <w:pPr>
              <w:spacing w:after="40" w:before="40"/>
            </w:pPr>
            <w:r>
              <w:rPr>
                <w:rFonts w:ascii="Inter" w:cs="Inter" w:eastAsia="Inter" w:hAnsi="Inter"/>
                <w:sz w:val="20"/>
                <w:szCs w:val="20"/>
              </w:rPr>
              <w:t xml:space="preserve">measured / medium</w:t>
            </w:r>
          </w:p>
        </w:tc>
        <w:tc>
          <w:tcPr>
            <w:tcW w:type="pct" w:w="14%"/>
          </w:tcPr>
          <w:p>
            <w:pPr>
              <w:spacing w:after="40" w:before="40"/>
            </w:pPr>
            <w:r>
              <w:rPr>
                <w:rFonts w:ascii="Inter" w:cs="Inter" w:eastAsia="Inter" w:hAnsi="Inter"/>
                <w:sz w:val="20"/>
                <w:szCs w:val="20"/>
              </w:rPr>
              <w:t xml:space="preserve">2026-04-23</w:t>
            </w:r>
          </w:p>
        </w:tc>
      </w:tr>
      <w:tr>
        <w:tc>
          <w:tcPr>
            <w:tcW w:type="pct" w:w="24%"/>
          </w:tcPr>
          <w:p>
            <w:pPr>
              <w:spacing w:after="40" w:before="40"/>
            </w:pPr>
            <w:r>
              <w:rPr>
                <w:rFonts w:ascii="Inter" w:cs="Inter" w:eastAsia="Inter" w:hAnsi="Inter"/>
                <w:sz w:val="20"/>
                <w:szCs w:val="20"/>
              </w:rPr>
              <w:t xml:space="preserve">Quality-measure documentation capture (HEDIS + Stars)</w:t>
            </w:r>
          </w:p>
        </w:tc>
        <w:tc>
          <w:tcPr>
            <w:tcW w:type="pct" w:w="18%"/>
          </w:tcPr>
          <w:p>
            <w:pPr>
              <w:spacing w:after="40" w:before="40"/>
            </w:pPr>
            <w:r>
              <w:rPr>
                <w:rFonts w:ascii="Inter" w:cs="Inter" w:eastAsia="Inter" w:hAnsi="Inter"/>
                <w:sz w:val="20"/>
                <w:szCs w:val="20"/>
              </w:rPr>
              <w:t xml:space="preserve">34 percent</w:t>
            </w:r>
          </w:p>
        </w:tc>
        <w:tc>
          <w:tcPr>
            <w:tcW w:type="pct" w:w="30%"/>
          </w:tcPr>
          <w:p>
            <w:pPr>
              <w:spacing w:after="40" w:before="40"/>
            </w:pPr>
            <w:r>
              <w:rPr>
                <w:rFonts w:ascii="Inter" w:cs="Inter" w:eastAsia="Inter" w:hAnsi="Inter"/>
                <w:sz w:val="20"/>
                <w:szCs w:val="20"/>
              </w:rPr>
              <w:t xml:space="preserve">Evidence base E47 (D15 Intervention Portfolio · lever outcome envelope)</w:t>
            </w:r>
          </w:p>
        </w:tc>
        <w:tc>
          <w:tcPr>
            <w:tcW w:type="pct" w:w="14%"/>
          </w:tcPr>
          <w:p>
            <w:pPr>
              <w:spacing w:after="40" w:before="40"/>
            </w:pPr>
            <w:r>
              <w:rPr>
                <w:rFonts w:ascii="Inter" w:cs="Inter" w:eastAsia="Inter" w:hAnsi="Inter"/>
                <w:sz w:val="20"/>
                <w:szCs w:val="20"/>
              </w:rPr>
              <w:t xml:space="preserve">measured / medium</w:t>
            </w:r>
          </w:p>
        </w:tc>
        <w:tc>
          <w:tcPr>
            <w:tcW w:type="pct" w:w="14%"/>
          </w:tcPr>
          <w:p>
            <w:pPr>
              <w:spacing w:after="40" w:before="40"/>
            </w:pPr>
            <w:r>
              <w:rPr>
                <w:rFonts w:ascii="Inter" w:cs="Inter" w:eastAsia="Inter" w:hAnsi="Inter"/>
                <w:sz w:val="20"/>
                <w:szCs w:val="20"/>
              </w:rPr>
              <w:t xml:space="preserve">2026-03-18</w:t>
            </w:r>
          </w:p>
        </w:tc>
      </w:tr>
      <w:tr>
        <w:tc>
          <w:tcPr>
            <w:tcW w:type="pct" w:w="24%"/>
          </w:tcPr>
          <w:p>
            <w:pPr>
              <w:spacing w:after="40" w:before="40"/>
            </w:pPr>
            <w:r>
              <w:rPr>
                <w:rFonts w:ascii="Inter" w:cs="Inter" w:eastAsia="Inter" w:hAnsi="Inter"/>
                <w:sz w:val="20"/>
                <w:szCs w:val="20"/>
              </w:rPr>
              <w:t xml:space="preserve">Clinician retention (annual)</w:t>
            </w:r>
          </w:p>
        </w:tc>
        <w:tc>
          <w:tcPr>
            <w:tcW w:type="pct" w:w="18%"/>
          </w:tcPr>
          <w:p>
            <w:pPr>
              <w:spacing w:after="40" w:before="40"/>
            </w:pPr>
            <w:r>
              <w:rPr>
                <w:rFonts w:ascii="Inter" w:cs="Inter" w:eastAsia="Inter" w:hAnsi="Inter"/>
                <w:sz w:val="20"/>
                <w:szCs w:val="20"/>
              </w:rPr>
              <w:t xml:space="preserve">88 percent</w:t>
            </w:r>
          </w:p>
        </w:tc>
        <w:tc>
          <w:tcPr>
            <w:tcW w:type="pct" w:w="30%"/>
          </w:tcPr>
          <w:p>
            <w:pPr>
              <w:spacing w:after="40" w:before="40"/>
            </w:pPr>
            <w:r>
              <w:rPr>
                <w:rFonts w:ascii="Inter" w:cs="Inter" w:eastAsia="Inter" w:hAnsi="Inter"/>
                <w:sz w:val="20"/>
                <w:szCs w:val="20"/>
              </w:rPr>
              <w:t xml:space="preserve">Evidence base E9 (D16 Business Case · cognitive-load recovery component)</w:t>
            </w:r>
          </w:p>
        </w:tc>
        <w:tc>
          <w:tcPr>
            <w:tcW w:type="pct" w:w="14%"/>
          </w:tcPr>
          <w:p>
            <w:pPr>
              <w:spacing w:after="40" w:before="40"/>
            </w:pPr>
            <w:r>
              <w:rPr>
                <w:rFonts w:ascii="Inter" w:cs="Inter" w:eastAsia="Inter" w:hAnsi="Inter"/>
                <w:sz w:val="20"/>
                <w:szCs w:val="20"/>
              </w:rPr>
              <w:t xml:space="preserve">stated / medium</w:t>
            </w:r>
          </w:p>
        </w:tc>
        <w:tc>
          <w:tcPr>
            <w:tcW w:type="pct" w:w="14%"/>
          </w:tcPr>
          <w:p>
            <w:pPr>
              <w:spacing w:after="40" w:before="40"/>
            </w:pPr>
            <w:r>
              <w:rPr>
                <w:rFonts w:ascii="Inter" w:cs="Inter" w:eastAsia="Inter" w:hAnsi="Inter"/>
                <w:sz w:val="20"/>
                <w:szCs w:val="20"/>
              </w:rPr>
              <w:t xml:space="preserve">2026-04-23</w:t>
            </w:r>
          </w:p>
        </w:tc>
      </w:tr>
      <w:tr>
        <w:tc>
          <w:tcPr>
            <w:tcW w:type="pct" w:w="24%"/>
          </w:tcPr>
          <w:p>
            <w:pPr>
              <w:spacing w:after="40" w:before="40"/>
            </w:pPr>
            <w:r>
              <w:rPr>
                <w:rFonts w:ascii="Inter" w:cs="Inter" w:eastAsia="Inter" w:hAnsi="Inter"/>
                <w:sz w:val="20"/>
                <w:szCs w:val="20"/>
              </w:rPr>
              <w:t xml:space="preserve">Ambulatory visits per clinician</w:t>
            </w:r>
          </w:p>
        </w:tc>
        <w:tc>
          <w:tcPr>
            <w:tcW w:type="pct" w:w="18%"/>
          </w:tcPr>
          <w:p>
            <w:pPr>
              <w:spacing w:after="40" w:before="40"/>
            </w:pPr>
            <w:r>
              <w:rPr>
                <w:rFonts w:ascii="Inter" w:cs="Inter" w:eastAsia="Inter" w:hAnsi="Inter"/>
                <w:sz w:val="20"/>
                <w:szCs w:val="20"/>
              </w:rPr>
              <w:t xml:space="preserve">84 visits_per_clinician_per_week</w:t>
            </w:r>
          </w:p>
        </w:tc>
        <w:tc>
          <w:tcPr>
            <w:tcW w:type="pct" w:w="30%"/>
          </w:tcPr>
          <w:p>
            <w:pPr>
              <w:spacing w:after="40" w:before="40"/>
            </w:pPr>
            <w:r>
              <w:rPr>
                <w:rFonts w:ascii="Inter" w:cs="Inter" w:eastAsia="Inter" w:hAnsi="Inter"/>
                <w:sz w:val="20"/>
                <w:szCs w:val="20"/>
              </w:rPr>
              <w:t xml:space="preserve">Evidence base E19 (D04 Intake · chief ambulatory officer field shadow)</w:t>
            </w:r>
          </w:p>
        </w:tc>
        <w:tc>
          <w:tcPr>
            <w:tcW w:type="pct" w:w="14%"/>
          </w:tcPr>
          <w:p>
            <w:pPr>
              <w:spacing w:after="40" w:before="40"/>
            </w:pPr>
            <w:r>
              <w:rPr>
                <w:rFonts w:ascii="Inter" w:cs="Inter" w:eastAsia="Inter" w:hAnsi="Inter"/>
                <w:sz w:val="20"/>
                <w:szCs w:val="20"/>
              </w:rPr>
              <w:t xml:space="preserve">stated / medium</w:t>
            </w:r>
          </w:p>
        </w:tc>
        <w:tc>
          <w:tcPr>
            <w:tcW w:type="pct" w:w="14%"/>
          </w:tcPr>
          <w:p>
            <w:pPr>
              <w:spacing w:after="40" w:before="40"/>
            </w:pPr>
            <w:r>
              <w:rPr>
                <w:rFonts w:ascii="Inter" w:cs="Inter" w:eastAsia="Inter" w:hAnsi="Inter"/>
                <w:sz w:val="20"/>
                <w:szCs w:val="20"/>
              </w:rPr>
              <w:t xml:space="preserve">2026-04-23</w:t>
            </w:r>
          </w:p>
        </w:tc>
      </w:tr>
      <w:tr>
        <w:tc>
          <w:tcPr>
            <w:tcW w:type="pct" w:w="24%"/>
            <w:shd w:fill="FFF4D6" w:color="auto" w:val="clear"/>
          </w:tcPr>
          <w:p>
            <w:pPr>
              <w:spacing w:after="40" w:before="40"/>
            </w:pPr>
            <w:r>
              <w:rPr>
                <w:rFonts w:ascii="Inter" w:cs="Inter" w:eastAsia="Inter" w:hAnsi="Inter"/>
                <w:color w:val="7A5800"/>
                <w:sz w:val="20"/>
                <w:szCs w:val="20"/>
              </w:rPr>
              <w:t xml:space="preserve">Cost-per-clinician-hour conversion coefficient</w:t>
            </w:r>
          </w:p>
        </w:tc>
        <w:tc>
          <w:tcPr>
            <w:tcW w:type="pct" w:w="18%"/>
            <w:shd w:fill="FFF4D6" w:color="auto" w:val="clear"/>
          </w:tcPr>
          <w:p>
            <w:pPr>
              <w:spacing w:after="40" w:before="40"/>
            </w:pPr>
            <w:r>
              <w:rPr>
                <w:rFonts w:ascii="Inter" w:cs="Inter" w:eastAsia="Inter" w:hAnsi="Inter"/>
                <w:color w:val="7A5800"/>
                <w:sz w:val="20"/>
                <w:szCs w:val="20"/>
              </w:rPr>
              <w:t xml:space="preserve">Not recorded — seed gap</w:t>
            </w:r>
          </w:p>
        </w:tc>
        <w:tc>
          <w:tcPr>
            <w:tcW w:type="pct" w:w="30%"/>
            <w:shd w:fill="FFF4D6" w:color="auto" w:val="clear"/>
          </w:tcPr>
          <w:p>
            <w:pPr>
              <w:spacing w:after="40" w:before="40"/>
            </w:pPr>
            <w:r>
              <w:rPr>
                <w:rFonts w:ascii="Inter" w:cs="Inter" w:eastAsia="Inter" w:hAnsi="Inter"/>
                <w:color w:val="7A5800"/>
                <w:sz w:val="20"/>
                <w:szCs w:val="20"/>
              </w:rPr>
              <w:t xml:space="preserve">seed gap</w:t>
            </w:r>
          </w:p>
        </w:tc>
        <w:tc>
          <w:tcPr>
            <w:tcW w:type="pct" w:w="14%"/>
            <w:shd w:fill="FFF4D6" w:color="auto" w:val="clear"/>
          </w:tcPr>
          <w:p>
            <w:pPr>
              <w:spacing w:after="40" w:before="40"/>
            </w:pPr>
            <w:r>
              <w:rPr>
                <w:rFonts w:ascii="Inter" w:cs="Inter" w:eastAsia="Inter" w:hAnsi="Inter"/>
                <w:color w:val="7A5800"/>
                <w:sz w:val="20"/>
                <w:szCs w:val="20"/>
              </w:rPr>
              <w:t xml:space="preserve">absent / low</w:t>
            </w:r>
          </w:p>
        </w:tc>
        <w:tc>
          <w:tcPr>
            <w:tcW w:type="pct" w:w="14%"/>
            <w:shd w:fill="FFF4D6" w:color="auto" w:val="clear"/>
          </w:tcPr>
          <w:p>
            <w:pPr>
              <w:spacing w:after="40" w:before="40"/>
            </w:pPr>
            <w:r>
              <w:rPr>
                <w:rFonts w:ascii="Inter" w:cs="Inter" w:eastAsia="Inter" w:hAnsi="Inter"/>
                <w:color w:val="7A5800"/>
                <w:sz w:val="20"/>
                <w:szCs w:val="20"/>
              </w:rPr>
              <w:t xml:space="preserve">2026-05-19</w:t>
            </w:r>
          </w:p>
        </w:tc>
      </w:tr>
      <w:tr>
        <w:tc>
          <w:tcPr>
            <w:tcW w:type="pct" w:w="24%"/>
            <w:shd w:fill="FFF4D6" w:color="auto" w:val="clear"/>
          </w:tcPr>
          <w:p>
            <w:pPr>
              <w:spacing w:after="40" w:before="40"/>
            </w:pPr>
            <w:r>
              <w:rPr>
                <w:rFonts w:ascii="Inter" w:cs="Inter" w:eastAsia="Inter" w:hAnsi="Inter"/>
                <w:color w:val="7A5800"/>
                <w:sz w:val="20"/>
                <w:szCs w:val="20"/>
              </w:rPr>
              <w:t xml:space="preserve">RAF-to-revenue conversion coefficient</w:t>
            </w:r>
          </w:p>
        </w:tc>
        <w:tc>
          <w:tcPr>
            <w:tcW w:type="pct" w:w="18%"/>
            <w:shd w:fill="FFF4D6" w:color="auto" w:val="clear"/>
          </w:tcPr>
          <w:p>
            <w:pPr>
              <w:spacing w:after="40" w:before="40"/>
            </w:pPr>
            <w:r>
              <w:rPr>
                <w:rFonts w:ascii="Inter" w:cs="Inter" w:eastAsia="Inter" w:hAnsi="Inter"/>
                <w:color w:val="7A5800"/>
                <w:sz w:val="20"/>
                <w:szCs w:val="20"/>
              </w:rPr>
              <w:t xml:space="preserve">Not recorded — seed gap</w:t>
            </w:r>
          </w:p>
        </w:tc>
        <w:tc>
          <w:tcPr>
            <w:tcW w:type="pct" w:w="30%"/>
            <w:shd w:fill="FFF4D6" w:color="auto" w:val="clear"/>
          </w:tcPr>
          <w:p>
            <w:pPr>
              <w:spacing w:after="40" w:before="40"/>
            </w:pPr>
            <w:r>
              <w:rPr>
                <w:rFonts w:ascii="Inter" w:cs="Inter" w:eastAsia="Inter" w:hAnsi="Inter"/>
                <w:color w:val="7A5800"/>
                <w:sz w:val="20"/>
                <w:szCs w:val="20"/>
              </w:rPr>
              <w:t xml:space="preserve">seed gap</w:t>
            </w:r>
          </w:p>
        </w:tc>
        <w:tc>
          <w:tcPr>
            <w:tcW w:type="pct" w:w="14%"/>
            <w:shd w:fill="FFF4D6" w:color="auto" w:val="clear"/>
          </w:tcPr>
          <w:p>
            <w:pPr>
              <w:spacing w:after="40" w:before="40"/>
            </w:pPr>
            <w:r>
              <w:rPr>
                <w:rFonts w:ascii="Inter" w:cs="Inter" w:eastAsia="Inter" w:hAnsi="Inter"/>
                <w:color w:val="7A5800"/>
                <w:sz w:val="20"/>
                <w:szCs w:val="20"/>
              </w:rPr>
              <w:t xml:space="preserve">absent / low</w:t>
            </w:r>
          </w:p>
        </w:tc>
        <w:tc>
          <w:tcPr>
            <w:tcW w:type="pct" w:w="14%"/>
            <w:shd w:fill="FFF4D6" w:color="auto" w:val="clear"/>
          </w:tcPr>
          <w:p>
            <w:pPr>
              <w:spacing w:after="40" w:before="40"/>
            </w:pPr>
            <w:r>
              <w:rPr>
                <w:rFonts w:ascii="Inter" w:cs="Inter" w:eastAsia="Inter" w:hAnsi="Inter"/>
                <w:color w:val="7A5800"/>
                <w:sz w:val="20"/>
                <w:szCs w:val="20"/>
              </w:rPr>
              <w:t xml:space="preserve">2026-05-19</w:t>
            </w:r>
          </w:p>
        </w:tc>
      </w:tr>
      <w:tr>
        <w:tc>
          <w:tcPr>
            <w:tcW w:type="pct" w:w="24%"/>
            <w:shd w:fill="FFF4D6" w:color="auto" w:val="clear"/>
          </w:tcPr>
          <w:p>
            <w:pPr>
              <w:spacing w:after="40" w:before="40"/>
            </w:pPr>
            <w:r>
              <w:rPr>
                <w:rFonts w:ascii="Inter" w:cs="Inter" w:eastAsia="Inter" w:hAnsi="Inter"/>
                <w:color w:val="7A5800"/>
                <w:sz w:val="20"/>
                <w:szCs w:val="20"/>
              </w:rPr>
              <w:t xml:space="preserve">Locum-avoidance dollar basis</w:t>
            </w:r>
          </w:p>
        </w:tc>
        <w:tc>
          <w:tcPr>
            <w:tcW w:type="pct" w:w="18%"/>
            <w:shd w:fill="FFF4D6" w:color="auto" w:val="clear"/>
          </w:tcPr>
          <w:p>
            <w:pPr>
              <w:spacing w:after="40" w:before="40"/>
            </w:pPr>
            <w:r>
              <w:rPr>
                <w:rFonts w:ascii="Inter" w:cs="Inter" w:eastAsia="Inter" w:hAnsi="Inter"/>
                <w:color w:val="7A5800"/>
                <w:sz w:val="20"/>
                <w:szCs w:val="20"/>
              </w:rPr>
              <w:t xml:space="preserve">Not recorded — seed gap</w:t>
            </w:r>
          </w:p>
        </w:tc>
        <w:tc>
          <w:tcPr>
            <w:tcW w:type="pct" w:w="30%"/>
            <w:shd w:fill="FFF4D6" w:color="auto" w:val="clear"/>
          </w:tcPr>
          <w:p>
            <w:pPr>
              <w:spacing w:after="40" w:before="40"/>
            </w:pPr>
            <w:r>
              <w:rPr>
                <w:rFonts w:ascii="Inter" w:cs="Inter" w:eastAsia="Inter" w:hAnsi="Inter"/>
                <w:color w:val="7A5800"/>
                <w:sz w:val="20"/>
                <w:szCs w:val="20"/>
              </w:rPr>
              <w:t xml:space="preserve">seed gap</w:t>
            </w:r>
          </w:p>
        </w:tc>
        <w:tc>
          <w:tcPr>
            <w:tcW w:type="pct" w:w="14%"/>
            <w:shd w:fill="FFF4D6" w:color="auto" w:val="clear"/>
          </w:tcPr>
          <w:p>
            <w:pPr>
              <w:spacing w:after="40" w:before="40"/>
            </w:pPr>
            <w:r>
              <w:rPr>
                <w:rFonts w:ascii="Inter" w:cs="Inter" w:eastAsia="Inter" w:hAnsi="Inter"/>
                <w:color w:val="7A5800"/>
                <w:sz w:val="20"/>
                <w:szCs w:val="20"/>
              </w:rPr>
              <w:t xml:space="preserve">absent / low</w:t>
            </w:r>
          </w:p>
        </w:tc>
        <w:tc>
          <w:tcPr>
            <w:tcW w:type="pct" w:w="14%"/>
            <w:shd w:fill="FFF4D6" w:color="auto" w:val="clear"/>
          </w:tcPr>
          <w:p>
            <w:pPr>
              <w:spacing w:after="40" w:before="40"/>
            </w:pPr>
            <w:r>
              <w:rPr>
                <w:rFonts w:ascii="Inter" w:cs="Inter" w:eastAsia="Inter" w:hAnsi="Inter"/>
                <w:color w:val="7A5800"/>
                <w:sz w:val="20"/>
                <w:szCs w:val="20"/>
              </w:rPr>
              <w:t xml:space="preserve">2026-05-19</w:t>
            </w:r>
          </w:p>
        </w:tc>
      </w:tr>
    </w:tbl>
    <w:p>
      <w:pPr>
        <w:pStyle w:val="Heading2"/>
        <w:spacing w:after="100" w:before="280"/>
      </w:pPr>
      <w:r>
        <w:rPr>
          <w:rFonts w:ascii="Inter" w:cs="Inter" w:eastAsia="Inter" w:hAnsi="Inter"/>
          <w:b/>
          <w:bCs/>
          <w:color w:val="0C1A3A"/>
          <w:sz w:val="26"/>
          <w:szCs w:val="26"/>
        </w:rPr>
        <w:t xml:space="preserve">Seed gaps — declared, not fabricated</w:t>
      </w:r>
    </w:p>
    <w:p>
      <w:pPr>
        <w:spacing w:after="80" w:before="80" w:line="320"/>
      </w:pPr>
      <w:r>
        <w:rPr>
          <w:rFonts w:ascii="Inter" w:cs="Inter" w:eastAsia="Inter" w:hAnsi="Inter"/>
          <w:sz w:val="22"/>
          <w:szCs w:val="22"/>
        </w:rPr>
        <w:t xml:space="preserve">These inputs are not recorded in the tenant substrate. The kernel declares each one and does not invent a value for it.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rFonts w:ascii="Inter" w:cs="Inter" w:eastAsia="Inter" w:hAnsi="Inter"/>
          <w:b/>
          <w:bCs/>
          <w:sz w:val="22"/>
          <w:szCs w:val="22"/>
        </w:rPr>
        <w:t xml:space="preserve">Cost-per-clinician-hour conversion coefficient: </w:t>
      </w:r>
      <w:r>
        <w:rPr>
          <w:rFonts w:ascii="Inter" w:cs="Inter" w:eastAsia="Inter" w:hAnsi="Inter"/>
          <w:sz w:val="22"/>
          <w:szCs w:val="22"/>
        </w:rPr>
        <w:t xml:space="preserve">Not measured. The value-at-stake model (E9) converts recovered pajama time into dollars, but the fully-loaded cost-per-clinician-hour basis is a modeled assumption — Meridian Finance has not attested a figure. Needed to monetise cognitive-load recovery.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rFonts w:ascii="Inter" w:cs="Inter" w:eastAsia="Inter" w:hAnsi="Inter"/>
          <w:b/>
          <w:bCs/>
          <w:sz w:val="22"/>
          <w:szCs w:val="22"/>
        </w:rPr>
        <w:t xml:space="preserve">RAF-to-revenue conversion coefficient: </w:t>
      </w:r>
      <w:r>
        <w:rPr>
          <w:rFonts w:ascii="Inter" w:cs="Inter" w:eastAsia="Inter" w:hAnsi="Inter"/>
          <w:sz w:val="22"/>
          <w:szCs w:val="22"/>
        </w:rPr>
        <w:t xml:space="preserve">Not measured. HCC recapture is sized at $3.2–5.1M/yr (E5/E9), but the RAF-point-to-revenue coefficient on the MA book is a Revenue-Cycle estimate, not an attested baseline. Needed to monetise HCC capture lift.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rFonts w:ascii="Inter" w:cs="Inter" w:eastAsia="Inter" w:hAnsi="Inter"/>
          <w:b/>
          <w:bCs/>
          <w:sz w:val="22"/>
          <w:szCs w:val="22"/>
        </w:rPr>
        <w:t xml:space="preserve">Locum-avoidance dollar basis: </w:t>
      </w:r>
      <w:r>
        <w:rPr>
          <w:rFonts w:ascii="Inter" w:cs="Inter" w:eastAsia="Inter" w:hAnsi="Inter"/>
          <w:sz w:val="22"/>
          <w:szCs w:val="22"/>
        </w:rPr>
        <w:t xml:space="preserve">Not measured. The cognitive-load recovery component (E9) names locum avoidance as a value lever, but no locum-spend baseline or avoidance rate is seeded. Modeled, not measured.</w:t>
      </w:r>
    </w:p>
    <w:p>
      <w:pPr>
        <w:pStyle w:val="Heading2"/>
        <w:spacing w:after="100" w:before="280"/>
      </w:pPr>
      <w:r>
        <w:rPr>
          <w:rFonts w:ascii="Inter" w:cs="Inter" w:eastAsia="Inter" w:hAnsi="Inter"/>
          <w:b/>
          <w:bCs/>
          <w:color w:val="0C1A3A"/>
          <w:sz w:val="26"/>
          <w:szCs w:val="26"/>
        </w:rPr>
        <w:t xml:space="preserve">Opportunity &amp; go/no-go read</w:t>
      </w:r>
    </w:p>
    <w:p>
      <w:pPr>
        <w:spacing w:after="80" w:before="80" w:line="320"/>
      </w:pPr>
      <w:r>
        <w:rPr>
          <w:rFonts w:ascii="Inter" w:cs="Inter" w:eastAsia="Inter" w:hAnsi="Inter"/>
          <w:sz w:val="22"/>
          <w:szCs w:val="22"/>
        </w:rPr>
        <w:t xml:space="preserve">The case breaks if the baseline seed gap is not closed — without the missing unit economics the value range is a proxy, not a forecast.</w:t>
      </w:r>
    </w:p>
    <w:p>
      <w:pPr>
        <w:pStyle w:val="Heading2"/>
        <w:spacing w:after="100" w:before="280"/>
      </w:pPr>
      <w:r>
        <w:rPr>
          <w:rFonts w:ascii="Inter" w:cs="Inter" w:eastAsia="Inter" w:hAnsi="Inter"/>
          <w:b/>
          <w:bCs/>
          <w:color w:val="0C1A3A"/>
          <w:sz w:val="26"/>
          <w:szCs w:val="26"/>
        </w:rPr>
        <w:t xml:space="preserve">Recommendation</w:t>
      </w:r>
    </w:p>
    <w:p>
      <w:pPr>
        <w:spacing w:after="40" w:before="80"/>
      </w:pPr>
      <w:r>
        <w:rPr>
          <w:rFonts w:ascii="Inter" w:cs="Inter" w:eastAsia="Inter" w:hAnsi="Inter"/>
          <w:b/>
          <w:bCs/>
          <w:sz w:val="26"/>
          <w:szCs w:val="26"/>
        </w:rPr>
        <w:t xml:space="preserve">Verdict: </w:t>
      </w:r>
      <w:r>
        <w:rPr>
          <w:rFonts w:ascii="Inter" w:cs="Inter" w:eastAsia="Inter" w:hAnsi="Inter"/>
          <w:b/>
          <w:bCs/>
          <w:color w:val="8B1F0F"/>
          <w:sz w:val="26"/>
          <w:szCs w:val="26"/>
        </w:rPr>
        <w:t xml:space="preserve">SHAPE — do not fund as-is</w:t>
      </w:r>
    </w:p>
    <w:p>
      <w:pPr>
        <w:spacing w:after="80" w:before="80" w:line="320"/>
      </w:pPr>
      <w:r>
        <w:rPr>
          <w:rFonts w:ascii="Inter" w:cs="Inter" w:eastAsia="Inter" w:hAnsi="Inter"/>
          <w:sz w:val="22"/>
          <w:szCs w:val="22"/>
        </w:rPr>
        <w:t xml:space="preserve">The critic raised 1 blocker(s) — fund only after they are resolved (see critic findings). Re-shape the Move to close them, do not fund as-is.</w:t>
      </w:r>
    </w:p>
    <w:tbl>
      <w:tblPr>
        <w:tblW w:type="pct" w:w="100%"/>
        <w:tblBorders>
          <w:top w:val="single" w:color="D8D5CC" w:sz="4"/>
          <w:left w:val="single" w:color="D8D5CC" w:sz="4"/>
          <w:bottom w:val="single" w:color="D8D5CC" w:sz="4"/>
          <w:right w:val="single" w:color="D8D5CC" w:sz="4"/>
          <w:insideH w:val="single" w:color="ECE9E0" w:sz="2"/>
          <w:insideV w:val="single" w:color="ECE9E0" w:sz="2"/>
        </w:tblBorders>
      </w:tblPr>
      <w:tblGrid>
        <w:gridCol w:w="100"/>
        <w:gridCol w:w="100"/>
      </w:tblGrid>
      <w:tr>
        <w:tc>
          <w:tcPr>
            <w:tcW w:type="pct" w:w="36%"/>
            <w:shd w:fill="E8E5DC" w:color="auto" w:val="clear"/>
          </w:tcPr>
          <w:p>
            <w:pPr>
              <w:spacing w:after="40" w:before="40"/>
            </w:pPr>
            <w:r>
              <w:rPr>
                <w:rFonts w:ascii="Inter" w:cs="Inter" w:eastAsia="Inter" w:hAnsi="Inter"/>
                <w:b/>
                <w:bCs/>
                <w:color w:val="0C1A3A"/>
                <w:sz w:val="20"/>
                <w:szCs w:val="20"/>
              </w:rPr>
              <w:t xml:space="preserve">Investment (effort)</w:t>
            </w:r>
          </w:p>
        </w:tc>
        <w:tc>
          <w:tcPr>
            <w:tcW w:type="pct" w:w="64%"/>
          </w:tcPr>
          <w:p>
            <w:pPr>
              <w:spacing w:after="40" w:before="40"/>
            </w:pPr>
            <w:r>
              <w:rPr>
                <w:rFonts w:ascii="Inter" w:cs="Inter" w:eastAsia="Inter" w:hAnsi="Inter"/>
                <w:sz w:val="20"/>
                <w:szCs w:val="20"/>
              </w:rPr>
              <w:t xml:space="preserve">$2,481,455 – $4,087,102 (base $2,919,358)</w:t>
            </w:r>
          </w:p>
        </w:tc>
      </w:tr>
      <w:tr>
        <w:tc>
          <w:tcPr>
            <w:tcW w:type="pct" w:w="36%"/>
            <w:shd w:fill="E8E5DC" w:color="auto" w:val="clear"/>
          </w:tcPr>
          <w:p>
            <w:pPr>
              <w:spacing w:after="40" w:before="40"/>
            </w:pPr>
            <w:r>
              <w:rPr>
                <w:rFonts w:ascii="Inter" w:cs="Inter" w:eastAsia="Inter" w:hAnsi="Inter"/>
                <w:b/>
                <w:bCs/>
                <w:color w:val="0C1A3A"/>
                <w:sz w:val="20"/>
                <w:szCs w:val="20"/>
              </w:rPr>
              <w:t xml:space="preserve">Net return</w:t>
            </w:r>
          </w:p>
        </w:tc>
        <w:tc>
          <w:tcPr>
            <w:tcW w:type="pct" w:w="64%"/>
          </w:tcPr>
          <w:p>
            <w:pPr>
              <w:spacing w:after="40" w:before="40"/>
            </w:pPr>
            <w:r>
              <w:rPr>
                <w:rFonts w:ascii="Inter" w:cs="Inter" w:eastAsia="Inter" w:hAnsi="Inter"/>
                <w:sz w:val="20"/>
                <w:szCs w:val="20"/>
              </w:rPr>
              <w:t xml:space="preserve">$3,460,898 – $10,727,545 (base $7,459,142)</w:t>
            </w:r>
          </w:p>
        </w:tc>
      </w:tr>
      <w:tr>
        <w:tc>
          <w:tcPr>
            <w:tcW w:type="pct" w:w="36%"/>
            <w:shd w:fill="E8E5DC" w:color="auto" w:val="clear"/>
          </w:tcPr>
          <w:p>
            <w:pPr>
              <w:spacing w:after="40" w:before="40"/>
            </w:pPr>
            <w:r>
              <w:rPr>
                <w:rFonts w:ascii="Inter" w:cs="Inter" w:eastAsia="Inter" w:hAnsi="Inter"/>
                <w:b/>
                <w:bCs/>
                <w:color w:val="0C1A3A"/>
                <w:sz w:val="20"/>
                <w:szCs w:val="20"/>
              </w:rPr>
              <w:t xml:space="preserve">Net value (post-haircut, 3yr)</w:t>
            </w:r>
          </w:p>
        </w:tc>
        <w:tc>
          <w:tcPr>
            <w:tcW w:type="pct" w:w="64%"/>
          </w:tcPr>
          <w:p>
            <w:pPr>
              <w:spacing w:after="40" w:before="40"/>
            </w:pPr>
            <w:r>
              <w:rPr>
                <w:rFonts w:ascii="Inter" w:cs="Inter" w:eastAsia="Inter" w:hAnsi="Inter"/>
                <w:sz w:val="20"/>
                <w:szCs w:val="20"/>
              </w:rPr>
              <w:t xml:space="preserve">$7,548,000 – $13,209,000 (base $10,378,500)</w:t>
            </w:r>
          </w:p>
        </w:tc>
      </w:tr>
      <w:tr>
        <w:tc>
          <w:tcPr>
            <w:tcW w:type="pct" w:w="36%"/>
            <w:shd w:fill="E8E5DC" w:color="auto" w:val="clear"/>
          </w:tcPr>
          <w:p>
            <w:pPr>
              <w:spacing w:after="40" w:before="40"/>
            </w:pPr>
            <w:r>
              <w:rPr>
                <w:rFonts w:ascii="Inter" w:cs="Inter" w:eastAsia="Inter" w:hAnsi="Inter"/>
                <w:b/>
                <w:bCs/>
                <w:color w:val="0C1A3A"/>
                <w:sz w:val="20"/>
                <w:szCs w:val="20"/>
              </w:rPr>
              <w:t xml:space="preserve">Payback</w:t>
            </w:r>
          </w:p>
        </w:tc>
        <w:tc>
          <w:tcPr>
            <w:tcW w:type="pct" w:w="64%"/>
          </w:tcPr>
          <w:p>
            <w:pPr>
              <w:spacing w:after="40" w:before="40"/>
            </w:pPr>
            <w:r>
              <w:rPr>
                <w:rFonts w:ascii="Inter" w:cs="Inter" w:eastAsia="Inter" w:hAnsi="Inter"/>
                <w:sz w:val="20"/>
                <w:szCs w:val="20"/>
              </w:rPr>
              <w:t xml:space="preserve">Not monetisable — the value rests on a baseline seed gap, so the kernel returns no payback rather than a fabricated one.</w:t>
            </w:r>
          </w:p>
        </w:tc>
      </w:tr>
      <w:tr>
        <w:tc>
          <w:tcPr>
            <w:tcW w:type="pct" w:w="36%"/>
            <w:shd w:fill="E8E5DC" w:color="auto" w:val="clear"/>
          </w:tcPr>
          <w:p>
            <w:pPr>
              <w:spacing w:after="40" w:before="40"/>
            </w:pPr>
            <w:r>
              <w:rPr>
                <w:rFonts w:ascii="Inter" w:cs="Inter" w:eastAsia="Inter" w:hAnsi="Inter"/>
                <w:b/>
                <w:bCs/>
                <w:color w:val="0C1A3A"/>
                <w:sz w:val="20"/>
                <w:szCs w:val="20"/>
              </w:rPr>
              <w:t xml:space="preserve">Monetisable</w:t>
            </w:r>
          </w:p>
        </w:tc>
        <w:tc>
          <w:tcPr>
            <w:tcW w:type="pct" w:w="64%"/>
          </w:tcPr>
          <w:p>
            <w:pPr>
              <w:spacing w:after="40" w:before="40"/>
            </w:pPr>
            <w:r>
              <w:rPr>
                <w:rFonts w:ascii="Inter" w:cs="Inter" w:eastAsia="Inter" w:hAnsi="Inter"/>
                <w:sz w:val="20"/>
                <w:szCs w:val="20"/>
              </w:rPr>
              <w:t xml:space="preserve">No</w:t>
            </w:r>
          </w:p>
        </w:tc>
      </w:tr>
    </w:tbl>
    <w:p>
      <w:pPr>
        <w:spacing w:before="200"/>
      </w:pPr>
    </w:p>
    <w:p>
      <w:pPr>
        <w:pBdr>
          <w:top w:val="single" w:color="D8D5CC" w:sz="4" w:space="8"/>
        </w:pBdr>
        <w:spacing w:after="40" w:before="120"/>
      </w:pPr>
      <w:r>
        <w:rPr>
          <w:rFonts w:ascii="Inter" w:cs="Inter" w:eastAsia="Inter" w:hAnsi="Inter"/>
          <w:i/>
          <w:iCs/>
          <w:color w:val="706D66"/>
          <w:sz w:val="18"/>
          <w:szCs w:val="18"/>
        </w:rPr>
        <w:t xml:space="preserve">Every figure in this document is produced by the Moves Expert Kernel from the tenant’s audited substrate. Absent data is declared a seed gap, never invented. Effort rests on a researched planning rate card — a market range, not a quote. Generated by AbarVa · Moves.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Inter" w:cs="Inter" w:eastAsia="Inter" w:hAnsi="Inter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Discover brief · Ambient Clinical Value Chain Activation</dc:title>
  <dc:creator>AbarVa · Moves</dc:creator>
  <dc:description>Problem statement, current-state baseline (with source and seed gaps), opportunity sizing and the go/no-go read.</dc:description>
  <cp:lastModifiedBy>Un-named</cp:lastModifiedBy>
  <cp:revision>1</cp:revision>
  <dcterms:created xsi:type="dcterms:W3CDTF">2026-05-20T01:44:02.457Z</dcterms:created>
  <dcterms:modified xsi:type="dcterms:W3CDTF">2026-05-20T01:44:02.457Z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