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Lakeshore Enterprise Finance &amp; Treasury Modernization: Kyriba Rollout, Corporate Controls, Reporting Rationalization, Vendor Optimization &amp; Value Realization</w:t>
      </w:r>
    </w:p>
    <w:p>
      <w:pPr>
        <w:pStyle w:val="Heading1"/>
      </w:pPr>
      <w:r>
        <w:t>Lakeshore Enterprise Finance &amp; Treasury Modernization: Kyriba Rollout, Corporate Controls, Reporting Rationalization, Vendor Optimization &amp; Value Realization</w:t>
      </w:r>
    </w:p>
    <w:p>
      <w:r>
        <w:t>A Charter business-case skeleton produced by the Moves Expert Kernel for this Move. The section structure is inherited from the curated Domain Function Pack; every figure is the kernel’s — cost and value are ranges, never single points, unrecorded metrics are named seed gaps, and the verdict is the kernel’s real recommendation, never invented.</w:t>
      </w:r>
    </w:p>
    <w:p>
      <w:pPr>
        <w:pStyle w:val="Heading1"/>
      </w:pPr>
      <w:r>
        <w:t>Stop this Charter — on current assumptions the case does not pay back, and the honest kernel verdict is kill.</w:t>
      </w:r>
    </w:p>
    <w:p>
      <w:r>
        <w:t>Base-case net return is not positive — the Move does not pay back on current assumptions.</w:t>
      </w:r>
    </w:p>
    <w:p>
      <w:r>
        <w:t>Baseline: 4 of 12 Function-Pack operating metrics are recorded by this Move (coverage 33%). The remaining 8 are precise, named seed gaps — not fabricated values.</w:t>
      </w:r>
    </w:p>
    <w:p>
      <w:r>
        <w:t>Assumptions: 13 named assumptions derived from the Function Pack (haircut factors, value narrative, evidence anchors, pain themes); 12 are seed-gap proxies owned by a "to be confirmed with the tenant" placeholder — no human owner is fabricated.</w:t>
      </w:r>
    </w:p>
    <w:p>
      <w:r>
        <w:t>Value: the gross value range is built from the Function Pack's curated value benchmarks — labelled planning ranges, NOT this tenant's own measured unit economics. It is carried as a proxy, so the kernel honestly blocks a claimable dollar payback until the tenant's spend base and the seed-gapped metrics are supplied.</w:t>
      </w:r>
    </w:p>
    <w:p>
      <w:r>
        <w:t>Value: 8 operating metric(s) needed to ground the forecast are seed-gapped — the value range is a planning proxy, not a forecast, until they are closed.</w:t>
      </w:r>
    </w:p>
    <w:p>
      <w:pPr>
        <w:pStyle w:val="Heading1"/>
      </w:pPr>
      <w:r>
        <w:t>This Charter skeleton inherits the curated Finance, treasury &amp; ALM Charter outline — 8 sections, structure not improvised.</w:t>
      </w:r>
    </w:p>
    <w:p>
      <w:r>
        <w:t>This Charter Business-Case Skeleton inherits the curated Finance, treasury &amp;amp; ALM Charter outline from the bound Domain Function Pack. The agent does not improvise the structure — every section below is a curated, function-calibrated heading.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Section heading</w:t>
            </w:r>
          </w:p>
        </w:tc>
        <w:tc>
          <w:tcPr>
            <w:tcW w:type="dxa" w:w="2880"/>
          </w:tcPr>
          <w:p>
            <w:r>
              <w:t>Curated guidance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Executive answer</w:t>
            </w:r>
          </w:p>
        </w:tc>
        <w:tc>
          <w:tcPr>
            <w:tcW w:type="dxa" w:w="2880"/>
          </w:tcPr>
          <w:p>
            <w:r>
              <w:t>State the funding ask, the headline value separated into margin and return, capital and funding efficiency, and finance productivity, the time-to-value band, and the go / hold recommendation in one read.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Baseline model</w:t>
            </w:r>
          </w:p>
        </w:tc>
        <w:tc>
          <w:tcPr>
            <w:tcW w:type="dxa" w:w="2880"/>
          </w:tcPr>
          <w:p>
            <w:r>
              <w:t>Anchor every value claim to a measured baseline operating metric — NIM, cost of funds, forecast accuracy, cycle time, buffer levels, return on equity. Where a baseline is a seed gap, say so and state what closing it requires before funding.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Scenario-conditional value forecast and haircuts</w:t>
            </w:r>
          </w:p>
        </w:tc>
        <w:tc>
          <w:tcPr>
            <w:tcW w:type="dxa" w:w="2880"/>
          </w:tcPr>
          <w:p>
            <w:r>
              <w:t>Build the forecast from the value-model benchmark ranges, then apply each dominant haircut factor — rate-environment contingency, regulatory floors and risk-appetite ceilings, data and model readiness, governance and adoption — explicitly and show the haircut math. Present rate-dependent gains as scenario-conditional, never certain.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Cost and effort</w:t>
            </w:r>
          </w:p>
        </w:tc>
        <w:tc>
          <w:tcPr>
            <w:tcW w:type="dxa" w:w="2880"/>
          </w:tcPr>
          <w:p>
            <w:r>
              <w:t>Cost the build, the integration to the ALM, general-ledger, FP&amp;A, treasury, and liquidity systems, the model risk-management and validation overhead, and the operating-model change in the finance and treasury organisation.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Sensitivity and downside</w:t>
            </w:r>
          </w:p>
        </w:tc>
        <w:tc>
          <w:tcPr>
            <w:tcW w:type="dxa" w:w="2880"/>
          </w:tcPr>
          <w:p>
            <w:r>
              <w:t>Show how the case moves under an adverse rate scenario, tighter regulatory constraints, and partial adoption. State the downside the CFO and board are underwriting.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Model governance posture</w:t>
            </w:r>
          </w:p>
        </w:tc>
        <w:tc>
          <w:tcPr>
            <w:tcW w:type="dxa" w:w="2880"/>
          </w:tcPr>
          <w:p>
            <w:r>
              <w:t>State how any ALM, capital, forecasting, or behavioural model is governed under the model risk-management framework, validated, and made explainable to the board and examiners.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Kill criteria and conditions to proceed</w:t>
            </w:r>
          </w:p>
        </w:tc>
        <w:tc>
          <w:tcPr>
            <w:tcW w:type="dxa" w:w="2880"/>
          </w:tcPr>
          <w:p>
            <w:r>
              <w:t>Name the conditions under which the Move should not be funded and the evidence — data lineage, model validation, governance sign-off — that must be in hand before the gate.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Tower measurement plan</w:t>
            </w:r>
          </w:p>
        </w:tc>
        <w:tc>
          <w:tcPr>
            <w:tcW w:type="dxa" w:w="2880"/>
          </w:tcPr>
          <w:p>
            <w:r>
              <w:t>State exactly which operating metrics Tower will track to prove the forecast and the measurement cadence, including the rate-cycle-dependent margin and buffer measures.</w:t>
            </w:r>
          </w:p>
        </w:tc>
      </w:tr>
    </w:tbl>
    <w:p>
      <w:pPr>
        <w:pStyle w:val="Heading1"/>
      </w:pPr>
      <w:r>
        <w:t>The case rests on one falsifiable claim — the Move moves this function’s operating metrics; a pilot that does not move them falsifies the case.</w:t>
      </w:r>
    </w:p>
    <w:p>
      <w:r>
        <w:t>A value hypothesis earns its place only if it can be proven false. This one is anchored on the recorded baseline and the curated Function-Pack value model — a pilot is the test.</w:t>
      </w:r>
    </w:p>
    <w:p>
      <w:r>
        <w:t>The bars carry no committed target — they are the recorded baseline the pilot must move; a single fabricated target would be a hard fail.</w:t>
      </w:r>
    </w:p>
    <w:p>
      <w:r>
        <w:t>Monetisation is blocked — the value rests on the Function Pack’s curated benchmark ranges, a planning proxy until the tenant’s spend base and seed-gapped metrics are supplied. The hypothesis is directional, never a fabricated dollar claim.</w:t>
      </w:r>
    </w:p>
    <w:p>
      <w:pPr>
        <w:pStyle w:val="Heading1"/>
      </w:pPr>
      <w:r>
        <w:t>The early envelope is a range, not a number — $5.20M to $8.56M — and 24% of it is the business-change work AI cases routinely under-budget.</w:t>
      </w:r>
    </w:p>
    <w:p>
      <w:r>
        <w:t>The early envelope is a range — $5.20M to $8.56M, base $6.12M — never a single number. 24% is business change, the half AI cases most often under-budget.</w:t>
      </w:r>
    </w:p>
    <w:p>
      <w:r>
        <w:t>Both bars are low–high ranges with a base marker — a single-point cost or ROI is a blueprint §6 hard fail and is never shown.</w:t>
      </w:r>
    </w:p>
    <w:p>
      <w:r>
        <w:t>Business change is 24% of effort — a credible build-vs-change balance for an AI Move where value depends on people changing how they work.</w:t>
      </w:r>
    </w:p>
    <w:p>
      <w:r>
        <w:t>Researched benchmark rate card — fully-loaded annual rates derived from the 3-D SI benchmark (US Tier-1 archetype), a market planning range and NOT a quote. Override with a client-specific card before any commitment. — a researched planning benchmark, NOT a client quote.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Cost lane</w:t>
            </w:r>
          </w:p>
        </w:tc>
        <w:tc>
          <w:tcPr>
            <w:tcW w:type="dxa" w:w="2880"/>
          </w:tcPr>
          <w:p>
            <w:r>
              <w:t>Base cost</w:t>
            </w:r>
          </w:p>
        </w:tc>
        <w:tc>
          <w:tcPr>
            <w:tcW w:type="dxa" w:w="2880"/>
          </w:tcPr>
          <w:p>
            <w:r>
              <w:t>Basis</w:t>
            </w:r>
          </w:p>
        </w:tc>
      </w:tr>
      <w:tr>
        <w:tc>
          <w:tcPr>
            <w:tcW w:type="dxa" w:w="2880"/>
          </w:tcPr>
          <w:p>
            <w:r>
              <w:t>AI build, integration, data &amp; run</w:t>
            </w:r>
          </w:p>
        </w:tc>
        <w:tc>
          <w:tcPr>
            <w:tcW w:type="dxa" w:w="2880"/>
          </w:tcPr>
          <w:p>
            <w:r>
              <w:t>$4.62M</w:t>
            </w:r>
          </w:p>
        </w:tc>
        <w:tc>
          <w:tcPr>
            <w:tcW w:type="dxa" w:w="2880"/>
          </w:tcPr>
          <w:p>
            <w:r>
              <w:t>Build-side workstreams — includes $756K year-1 run cost</w:t>
            </w:r>
          </w:p>
        </w:tc>
      </w:tr>
      <w:tr>
        <w:tc>
          <w:tcPr>
            <w:tcW w:type="dxa" w:w="2880"/>
          </w:tcPr>
          <w:p>
            <w:r>
              <w:t>Business change &amp; adoption</w:t>
            </w:r>
          </w:p>
        </w:tc>
        <w:tc>
          <w:tcPr>
            <w:tcW w:type="dxa" w:w="2880"/>
          </w:tcPr>
          <w:p>
            <w:r>
              <w:t>$1.50M</w:t>
            </w:r>
          </w:p>
        </w:tc>
        <w:tc>
          <w:tcPr>
            <w:tcW w:type="dxa" w:w="2880"/>
          </w:tcPr>
          <w:p>
            <w:r>
              <w:t>Process redesign, change &amp; adoption, data governance — 24% of effort</w:t>
            </w:r>
          </w:p>
        </w:tc>
      </w:tr>
    </w:tbl>
    <w:p>
      <w:pPr>
        <w:pStyle w:val="Heading1"/>
      </w:pPr>
      <w:r>
        <w:t>Every assumption is owned and ranked by how much it moves the case — validating the seed-gap proxies is the highest-leverage shaping work.</w:t>
      </w:r>
    </w:p>
    <w:p>
      <w:r>
        <w:t>Every assumption is owned and ranked by how much it moves the case. 3 of the case-moving assumptions are seed-gap proxies — assumptions standing in for absent tenant data.</w:t>
      </w:r>
    </w:p>
    <w:p>
      <w:r>
        <w:t>A hatched bar is a seed-gap proxy; a solid bar is grounded. The widest bars are the assumptions the shaping spend must validate.</w:t>
      </w:r>
    </w:p>
    <w:p>
      <w:pPr>
        <w:pStyle w:val="Heading1"/>
      </w:pPr>
      <w:r>
        <w:t>1 stop condition is already firing — which is precisely why the Charter cannot be funded straight to build.</w:t>
      </w:r>
    </w:p>
    <w:p>
      <w:r>
        <w:t>These are the conditions that stop or reshape the Move. 1 criterion is already firing — which is precisely why the Charter verdict is not a clean fund.</w:t>
      </w:r>
    </w:p>
    <w:p>
      <w:pPr>
        <w:pStyle w:val="Heading1"/>
      </w:pPr>
      <w:r>
        <w:t>8 evidence asks gate build funding — closing them, not more analysis, is what turns this Charter into a fundable Design &amp; Plan.</w:t>
      </w:r>
    </w:p>
    <w:p>
      <w:r>
        <w:t>Closing evidence — not more analysis — is the work that turns this Charter into a fundable Design &amp; Plan. Each ask is a precise, named seed gap inherited from the curated Function Pack.</w:t>
      </w:r>
    </w:p>
    <w:p>
      <w:r>
        <w:t>The queue is sorted by decision impact — the widest bar is the next evidence ask. Funding-blocking asks outrank scope-informing asks.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Evidence ask before funding</w:t>
            </w:r>
          </w:p>
        </w:tc>
        <w:tc>
          <w:tcPr>
            <w:tcW w:type="dxa" w:w="2160"/>
          </w:tcPr>
          <w:p>
            <w:r>
              <w:t>Why it is a gap</w:t>
            </w:r>
          </w:p>
        </w:tc>
        <w:tc>
          <w:tcPr>
            <w:tcW w:type="dxa" w:w="2160"/>
          </w:tcPr>
          <w:p>
            <w:r>
              <w:t>Expected data source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Net interest margin (NIM) Blocks funding</w:t>
            </w:r>
          </w:p>
        </w:tc>
        <w:tc>
          <w:tcPr>
            <w:tcW w:type="dxa" w:w="2160"/>
          </w:tcPr>
          <w:p>
            <w:r>
              <w:t>"Net interest margin (NIM)" is not recorded — this function expects it; it is sourced from The general ledger and the ALM system, reconciling interest income and expense against average earning-asset balances.; its absence blocks the baseline and the value forecast.</w:t>
            </w:r>
          </w:p>
        </w:tc>
        <w:tc>
          <w:tcPr>
            <w:tcW w:type="dxa" w:w="2160"/>
          </w:tcPr>
          <w:p>
            <w:r>
              <w:t>The general ledger and the ALM system, reconciling interest income and expense against average earning-asset balances.</w:t>
            </w:r>
          </w:p>
        </w:tc>
        <w:tc>
          <w:tcPr>
            <w:tcW w:type="dxa" w:w="2160"/>
          </w:tcPr>
          <w:p>
            <w:r>
              <w:t>Move sponsor (to be confirmed with the tenant)</w:t>
            </w:r>
          </w:p>
        </w:tc>
      </w:tr>
      <w:tr>
        <w:tc>
          <w:tcPr>
            <w:tcW w:type="dxa" w:w="2160"/>
          </w:tcPr>
          <w:p>
            <w:r>
              <w:t>Liquidity coverage ratio (LCR) Blocks funding</w:t>
            </w:r>
          </w:p>
        </w:tc>
        <w:tc>
          <w:tcPr>
            <w:tcW w:type="dxa" w:w="2160"/>
          </w:tcPr>
          <w:p>
            <w:r>
              <w:t>"Liquidity coverage ratio (LCR)" is not recorded — this function expects it; it is sourced from The liquidity-risk and regulatory-reporting systems, computing HQLA and stressed outflows under the LCR rule.; its absence blocks the baseline and the value forecast.</w:t>
            </w:r>
          </w:p>
        </w:tc>
        <w:tc>
          <w:tcPr>
            <w:tcW w:type="dxa" w:w="2160"/>
          </w:tcPr>
          <w:p>
            <w:r>
              <w:t>The liquidity-risk and regulatory-reporting systems, computing HQLA and stressed outflows under the LCR rule.</w:t>
            </w:r>
          </w:p>
        </w:tc>
        <w:tc>
          <w:tcPr>
            <w:tcW w:type="dxa" w:w="2160"/>
          </w:tcPr>
          <w:p>
            <w:r>
              <w:t>Move sponsor (to be confirmed with the tenant)</w:t>
            </w:r>
          </w:p>
        </w:tc>
      </w:tr>
      <w:tr>
        <w:tc>
          <w:tcPr>
            <w:tcW w:type="dxa" w:w="2160"/>
          </w:tcPr>
          <w:p>
            <w:r>
              <w:t>Net stable funding ratio (NSFR) Informs scope</w:t>
            </w:r>
          </w:p>
        </w:tc>
        <w:tc>
          <w:tcPr>
            <w:tcW w:type="dxa" w:w="2160"/>
          </w:tcPr>
          <w:p>
            <w:r>
              <w:t>"Net stable funding ratio (NSFR)" is not recorded — this function expects it; it is sourced from The liquidity-risk and regulatory-reporting systems, computing available and required stable funding under the NSFR rule.; its absence blocks the baseline and the value forecast.</w:t>
            </w:r>
          </w:p>
        </w:tc>
        <w:tc>
          <w:tcPr>
            <w:tcW w:type="dxa" w:w="2160"/>
          </w:tcPr>
          <w:p>
            <w:r>
              <w:t>The liquidity-risk and regulatory-reporting systems, computing available and required stable funding under the NSFR rule.</w:t>
            </w:r>
          </w:p>
        </w:tc>
        <w:tc>
          <w:tcPr>
            <w:tcW w:type="dxa" w:w="2160"/>
          </w:tcPr>
          <w:p>
            <w:r>
              <w:t>Move sponsor (to be confirmed with the tenant)</w:t>
            </w:r>
          </w:p>
        </w:tc>
      </w:tr>
      <w:tr>
        <w:tc>
          <w:tcPr>
            <w:tcW w:type="dxa" w:w="2160"/>
          </w:tcPr>
          <w:p>
            <w:r>
              <w:t>Economic-value-of-equity rate sensitivity Informs scope</w:t>
            </w:r>
          </w:p>
        </w:tc>
        <w:tc>
          <w:tcPr>
            <w:tcW w:type="dxa" w:w="2160"/>
          </w:tcPr>
          <w:p>
            <w:r>
              <w:t>"Economic-value-of-equity rate sensitivity" is not recorded — this function expects it; it is sourced from The ALM system, running the EVE measurement under the institution’s rate-shock scenario set.; its absence blocks the baseline and the value forecast.</w:t>
            </w:r>
          </w:p>
        </w:tc>
        <w:tc>
          <w:tcPr>
            <w:tcW w:type="dxa" w:w="2160"/>
          </w:tcPr>
          <w:p>
            <w:r>
              <w:t>The ALM system, running the EVE measurement under the institution’s rate-shock scenario set.</w:t>
            </w:r>
          </w:p>
        </w:tc>
        <w:tc>
          <w:tcPr>
            <w:tcW w:type="dxa" w:w="2160"/>
          </w:tcPr>
          <w:p>
            <w:r>
              <w:t>Move sponsor (to be confirmed with the tenant)</w:t>
            </w:r>
          </w:p>
        </w:tc>
      </w:tr>
      <w:tr>
        <w:tc>
          <w:tcPr>
            <w:tcW w:type="dxa" w:w="2160"/>
          </w:tcPr>
          <w:p>
            <w:r>
              <w:t>Net-interest-income rate sensitivity Informs scope</w:t>
            </w:r>
          </w:p>
        </w:tc>
        <w:tc>
          <w:tcPr>
            <w:tcW w:type="dxa" w:w="2160"/>
          </w:tcPr>
          <w:p>
            <w:r>
              <w:t>"Net-interest-income rate sensitivity" is not recorded — this function expects it; it is sourced from The ALM system, running the net-interest-income simulation under the institution’s rate scenarios.; its absence blocks the baseline and the value forecast.</w:t>
            </w:r>
          </w:p>
        </w:tc>
        <w:tc>
          <w:tcPr>
            <w:tcW w:type="dxa" w:w="2160"/>
          </w:tcPr>
          <w:p>
            <w:r>
              <w:t>The ALM system, running the net-interest-income simulation under the institution’s rate scenarios.</w:t>
            </w:r>
          </w:p>
        </w:tc>
        <w:tc>
          <w:tcPr>
            <w:tcW w:type="dxa" w:w="2160"/>
          </w:tcPr>
          <w:p>
            <w:r>
              <w:t>Move sponsor (to be confirmed with the tenant)</w:t>
            </w:r>
          </w:p>
        </w:tc>
      </w:tr>
      <w:tr>
        <w:tc>
          <w:tcPr>
            <w:tcW w:type="dxa" w:w="2160"/>
          </w:tcPr>
          <w:p>
            <w:r>
              <w:t>Loan-to-deposit ratio Informs scope</w:t>
            </w:r>
          </w:p>
        </w:tc>
        <w:tc>
          <w:tcPr>
            <w:tcW w:type="dxa" w:w="2160"/>
          </w:tcPr>
          <w:p>
            <w:r>
              <w:t>"Loan-to-deposit ratio" is not recorded — this function expects it; it is sourced from The general ledger and treasury systems, aggregating loan and deposit balances.; its absence blocks the baseline and the value forecast.</w:t>
            </w:r>
          </w:p>
        </w:tc>
        <w:tc>
          <w:tcPr>
            <w:tcW w:type="dxa" w:w="2160"/>
          </w:tcPr>
          <w:p>
            <w:r>
              <w:t>The general ledger and treasury systems, aggregating loan and deposit balances.</w:t>
            </w:r>
          </w:p>
        </w:tc>
        <w:tc>
          <w:tcPr>
            <w:tcW w:type="dxa" w:w="2160"/>
          </w:tcPr>
          <w:p>
            <w:r>
              <w:t>Move sponsor (to be confirmed with the tenant)</w:t>
            </w:r>
          </w:p>
        </w:tc>
      </w:tr>
      <w:tr>
        <w:tc>
          <w:tcPr>
            <w:tcW w:type="dxa" w:w="2160"/>
          </w:tcPr>
          <w:p>
            <w:r>
              <w:t>Deposit beta Informs scope</w:t>
            </w:r>
          </w:p>
        </w:tc>
        <w:tc>
          <w:tcPr>
            <w:tcW w:type="dxa" w:w="2160"/>
          </w:tcPr>
          <w:p>
            <w:r>
              <w:t>"Deposit beta" is not recorded — this function expects it; it is sourced from The ALM system and deposit-analytics models, comparing historical deposit-rate moves against benchmark-rate moves.; its absence blocks the baseline and the value forecast.</w:t>
            </w:r>
          </w:p>
        </w:tc>
        <w:tc>
          <w:tcPr>
            <w:tcW w:type="dxa" w:w="2160"/>
          </w:tcPr>
          <w:p>
            <w:r>
              <w:t>The ALM system and deposit-analytics models, comparing historical deposit-rate moves against benchmark-rate moves.</w:t>
            </w:r>
          </w:p>
        </w:tc>
        <w:tc>
          <w:tcPr>
            <w:tcW w:type="dxa" w:w="2160"/>
          </w:tcPr>
          <w:p>
            <w:r>
              <w:t>Move sponsor (to be confirmed with the tenant)</w:t>
            </w:r>
          </w:p>
        </w:tc>
      </w:tr>
      <w:tr>
        <w:tc>
          <w:tcPr>
            <w:tcW w:type="dxa" w:w="2160"/>
          </w:tcPr>
          <w:p>
            <w:r>
              <w:t>Common equity tier 1 (CET1) capital ratio Informs scope</w:t>
            </w:r>
          </w:p>
        </w:tc>
        <w:tc>
          <w:tcPr>
            <w:tcW w:type="dxa" w:w="2160"/>
          </w:tcPr>
          <w:p>
            <w:r>
              <w:t>"Common equity tier 1 (CET1) capital ratio" is not recorded — this function expects it; it is sourced from The capital and regulatory-reporting systems, computing CET1 capital and risk-weighted assets under the regulatory capital framework.; its absence blocks the baseline and the value forecast.</w:t>
            </w:r>
          </w:p>
        </w:tc>
        <w:tc>
          <w:tcPr>
            <w:tcW w:type="dxa" w:w="2160"/>
          </w:tcPr>
          <w:p>
            <w:r>
              <w:t>The capital and regulatory-reporting systems, computing CET1 capital and risk-weighted assets under the regulatory capital framework.</w:t>
            </w:r>
          </w:p>
        </w:tc>
        <w:tc>
          <w:tcPr>
            <w:tcW w:type="dxa" w:w="2160"/>
          </w:tcPr>
          <w:p>
            <w:r>
              <w:t>Move sponsor (to be confirmed with the tenant)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8A93A6"/>
        <w:sz w:val="14"/>
      </w:rPr>
      <w:t>SYNTHETIC — LAKESHORE PILOT — NOT REAL DATA — ABARVA 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Lakeshore Enterprise Finance &amp; Treasury Modernization: Kyriba Rollout, Corporate Controls, Reporting Rationalization, Vendor Optimization &amp; Value Realization</dc:title>
  <dc:subject/>
  <dc:creator>AbarVa Expert Kernel</dc:creator>
  <cp:keywords/>
  <dc:description>SYNTHETIC — LAKESHORE PILOT — NOT REAL DATA — ABARVA AI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