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Kyriba Integration Design</w:t>
      </w:r>
    </w:p>
    <w:p>
      <w:r>
        <w:rPr>
          <w:color w:val="6B7280"/>
          <w:sz w:val="16"/>
        </w:rPr>
        <w:t>Lakeshore Holdings · Owner: Elena Vasquez · Source: SAP S/4HANA · As of: 2026-06-06 · Sensitivity: Internal</w:t>
      </w:r>
    </w:p>
    <w:p>
      <w:pPr>
        <w:pStyle w:val="Heading1"/>
      </w:pPr>
      <w:r>
        <w:t>Interfaces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Interface</w:t>
            </w:r>
          </w:p>
        </w:tc>
        <w:tc>
          <w:tcPr>
            <w:tcW w:type="dxa" w:w="1728"/>
          </w:tcPr>
          <w:p>
            <w:r>
              <w:t>Direction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Channel</w:t>
            </w:r>
          </w:p>
        </w:tc>
        <w:tc>
          <w:tcPr>
            <w:tcW w:type="dxa" w:w="1728"/>
          </w:tcPr>
          <w:p>
            <w:r>
              <w:t>Frequency</w:t>
            </w:r>
          </w:p>
        </w:tc>
      </w:tr>
      <w:tr>
        <w:tc>
          <w:tcPr>
            <w:tcW w:type="dxa" w:w="1728"/>
          </w:tcPr>
          <w:p>
            <w:r>
              <w:t>Payment proposals</w:t>
            </w:r>
          </w:p>
        </w:tc>
        <w:tc>
          <w:tcPr>
            <w:tcW w:type="dxa" w:w="1728"/>
          </w:tcPr>
          <w:p>
            <w:r>
              <w:t>SAP→Kyriba</w:t>
            </w:r>
          </w:p>
        </w:tc>
        <w:tc>
          <w:tcPr>
            <w:tcW w:type="dxa" w:w="1728"/>
          </w:tcPr>
          <w:p>
            <w:r>
              <w:t>IDoc PEXR2002</w:t>
            </w:r>
          </w:p>
        </w:tc>
        <w:tc>
          <w:tcPr>
            <w:tcW w:type="dxa" w:w="1728"/>
          </w:tcPr>
          <w:p>
            <w:r>
              <w:t>ESB</w:t>
            </w:r>
          </w:p>
        </w:tc>
        <w:tc>
          <w:tcPr>
            <w:tcW w:type="dxa" w:w="1728"/>
          </w:tcPr>
          <w:p>
            <w:r>
              <w:t>hourly</w:t>
            </w:r>
          </w:p>
        </w:tc>
      </w:tr>
      <w:tr>
        <w:tc>
          <w:tcPr>
            <w:tcW w:type="dxa" w:w="1728"/>
          </w:tcPr>
          <w:p>
            <w:r>
              <w:t>Outbound payments</w:t>
            </w:r>
          </w:p>
        </w:tc>
        <w:tc>
          <w:tcPr>
            <w:tcW w:type="dxa" w:w="1728"/>
          </w:tcPr>
          <w:p>
            <w:r>
              <w:t>Kyriba→Bank</w:t>
            </w:r>
          </w:p>
        </w:tc>
        <w:tc>
          <w:tcPr>
            <w:tcW w:type="dxa" w:w="1728"/>
          </w:tcPr>
          <w:p>
            <w:r>
              <w:t>pain.001.001.09</w:t>
            </w:r>
          </w:p>
        </w:tc>
        <w:tc>
          <w:tcPr>
            <w:tcW w:type="dxa" w:w="1728"/>
          </w:tcPr>
          <w:p>
            <w:r>
              <w:t>SFTP/SWIFT</w:t>
            </w:r>
          </w:p>
        </w:tc>
        <w:tc>
          <w:tcPr>
            <w:tcW w:type="dxa" w:w="1728"/>
          </w:tcPr>
          <w:p>
            <w:r>
              <w:t>intraday</w:t>
            </w:r>
          </w:p>
        </w:tc>
      </w:tr>
      <w:tr>
        <w:tc>
          <w:tcPr>
            <w:tcW w:type="dxa" w:w="1728"/>
          </w:tcPr>
          <w:p>
            <w:r>
              <w:t>Payment status</w:t>
            </w:r>
          </w:p>
        </w:tc>
        <w:tc>
          <w:tcPr>
            <w:tcW w:type="dxa" w:w="1728"/>
          </w:tcPr>
          <w:p>
            <w:r>
              <w:t>Bank→Kyriba</w:t>
            </w:r>
          </w:p>
        </w:tc>
        <w:tc>
          <w:tcPr>
            <w:tcW w:type="dxa" w:w="1728"/>
          </w:tcPr>
          <w:p>
            <w:r>
              <w:t>pain.002</w:t>
            </w:r>
          </w:p>
        </w:tc>
        <w:tc>
          <w:tcPr>
            <w:tcW w:type="dxa" w:w="1728"/>
          </w:tcPr>
          <w:p>
            <w:r>
              <w:t>SFTP</w:t>
            </w:r>
          </w:p>
        </w:tc>
        <w:tc>
          <w:tcPr>
            <w:tcW w:type="dxa" w:w="1728"/>
          </w:tcPr>
          <w:p>
            <w:r>
              <w:t>intraday</w:t>
            </w:r>
          </w:p>
        </w:tc>
      </w:tr>
      <w:tr>
        <w:tc>
          <w:tcPr>
            <w:tcW w:type="dxa" w:w="1728"/>
          </w:tcPr>
          <w:p>
            <w:r>
              <w:t>Statements</w:t>
            </w:r>
          </w:p>
        </w:tc>
        <w:tc>
          <w:tcPr>
            <w:tcW w:type="dxa" w:w="1728"/>
          </w:tcPr>
          <w:p>
            <w:r>
              <w:t>Bank→Kyriba</w:t>
            </w:r>
          </w:p>
        </w:tc>
        <w:tc>
          <w:tcPr>
            <w:tcW w:type="dxa" w:w="1728"/>
          </w:tcPr>
          <w:p>
            <w:r>
              <w:t>camt.053/052</w:t>
            </w:r>
          </w:p>
        </w:tc>
        <w:tc>
          <w:tcPr>
            <w:tcW w:type="dxa" w:w="1728"/>
          </w:tcPr>
          <w:p>
            <w:r>
              <w:t>SFTP</w:t>
            </w:r>
          </w:p>
        </w:tc>
        <w:tc>
          <w:tcPr>
            <w:tcW w:type="dxa" w:w="1728"/>
          </w:tcPr>
          <w:p>
            <w:r>
              <w:t>daily/intraday</w:t>
            </w:r>
          </w:p>
        </w:tc>
      </w:tr>
      <w:tr>
        <w:tc>
          <w:tcPr>
            <w:tcW w:type="dxa" w:w="1728"/>
          </w:tcPr>
          <w:p>
            <w:r>
              <w:t>GL recon postings</w:t>
            </w:r>
          </w:p>
        </w:tc>
        <w:tc>
          <w:tcPr>
            <w:tcW w:type="dxa" w:w="1728"/>
          </w:tcPr>
          <w:p>
            <w:r>
              <w:t>Kyriba→SAP</w:t>
            </w:r>
          </w:p>
        </w:tc>
        <w:tc>
          <w:tcPr>
            <w:tcW w:type="dxa" w:w="1728"/>
          </w:tcPr>
          <w:p>
            <w:r>
              <w:t>BAPI/IDoc</w:t>
            </w:r>
          </w:p>
        </w:tc>
        <w:tc>
          <w:tcPr>
            <w:tcW w:type="dxa" w:w="1728"/>
          </w:tcPr>
          <w:p>
            <w:r>
              <w:t>ESB</w:t>
            </w:r>
          </w:p>
        </w:tc>
        <w:tc>
          <w:tcPr>
            <w:tcW w:type="dxa" w:w="1728"/>
          </w:tcPr>
          <w:p>
            <w:r>
              <w:t>T+1</w:t>
            </w:r>
          </w:p>
        </w:tc>
      </w:tr>
      <w:tr>
        <w:tc>
          <w:tcPr>
            <w:tcW w:type="dxa" w:w="1728"/>
          </w:tcPr>
          <w:p>
            <w:r>
              <w:t>FX rates</w:t>
            </w:r>
          </w:p>
        </w:tc>
        <w:tc>
          <w:tcPr>
            <w:tcW w:type="dxa" w:w="1728"/>
          </w:tcPr>
          <w:p>
            <w:r>
              <w:t>Refinitiv→Kyriba</w:t>
            </w:r>
          </w:p>
        </w:tc>
        <w:tc>
          <w:tcPr>
            <w:tcW w:type="dxa" w:w="1728"/>
          </w:tcPr>
          <w:p>
            <w:r>
              <w:t>REST</w:t>
            </w:r>
          </w:p>
        </w:tc>
        <w:tc>
          <w:tcPr>
            <w:tcW w:type="dxa" w:w="1728"/>
          </w:tcPr>
          <w:p>
            <w:r>
              <w:t>API</w:t>
            </w:r>
          </w:p>
        </w:tc>
        <w:tc>
          <w:tcPr>
            <w:tcW w:type="dxa" w:w="1728"/>
          </w:tcPr>
          <w:p>
            <w:r>
              <w:t>intraday</w:t>
            </w:r>
          </w:p>
        </w:tc>
      </w:tr>
    </w:tbl>
    <w:p>
      <w:pPr>
        <w:pStyle w:val="Heading1"/>
      </w:pPr>
      <w:r>
        <w:t>Connectivity</w:t>
      </w:r>
    </w:p>
    <w:p>
      <w:r>
        <w:t>Kyriba bank connectivity uses SWIFT Alliance Lite2 (SCORE) for SWIFT-enabled banks and host-to-host SFTP/EBICS for the remainder; Kyriba's format library handles country-specific ISO20022 variants. Mutual TLS and PGP protect file channels.</w:t>
      </w:r>
    </w:p>
    <w:p>
      <w:pPr>
        <w:pStyle w:val="Heading1"/>
      </w:pPr>
      <w:r>
        <w:t>Design principles</w:t>
      </w:r>
    </w:p>
    <w:p>
      <w:pPr>
        <w:pStyle w:val="ListBullet"/>
      </w:pPr>
      <w:r>
        <w:t>Single payment hub; no direct ERP-to-bank channels.</w:t>
      </w:r>
    </w:p>
    <w:p>
      <w:pPr>
        <w:pStyle w:val="ListBullet"/>
      </w:pPr>
      <w:r>
        <w:t>Idempotent, replayable interfaces with full audit trail.</w:t>
      </w:r>
    </w:p>
    <w:p>
      <w:pPr>
        <w:pStyle w:val="ListBullet"/>
      </w:pPr>
      <w:r>
        <w:t>Clean-core: transformations in Kyriba/ESB, not ERP.</w:t>
      </w:r>
    </w:p>
    <w:p>
      <w:pPr>
        <w:pStyle w:val="ListBullet"/>
      </w:pPr>
      <w:r>
        <w:t>Environment parity (DEV/QA/PROD) with masked test data.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treasury_kyriba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Kyriba Integration Design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treasury_kyriba</cp:category>
</cp:coreProperties>
</file>