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Payment Process &amp; Payments Factory</w:t>
      </w:r>
    </w:p>
    <w:p>
      <w:r>
        <w:rPr>
          <w:color w:val="6B7280"/>
          <w:sz w:val="16"/>
        </w:rPr>
        <w:t>Lakeshore Holdings · Owner: Elena Vasquez · Source: Kyriba TMS · As of: 2026-06-06 · Sensitivity: Internal</w:t>
      </w:r>
    </w:p>
    <w:p>
      <w:pPr>
        <w:pStyle w:val="Heading1"/>
      </w:pPr>
      <w:r>
        <w:t>End-to-end flow</w:t>
      </w:r>
    </w:p>
    <w:p>
      <w:r>
        <w:t>The Lakeshore payments factory centralizes outbound payments through Kyriba. AP proposals originate in SAP (IDoc PEXR2002), are enriched and validated against entity-level limits in Kyriba, pass dual authorization and real-time sanctions screening, and are transmitted to banks as ISO20022 pain.001 over SFTP/SWIFT. Bank acknowledgements (pain.002) and statements (camt.053/052) flow back for auto-reconciliation to the GL.</w:t>
      </w:r>
    </w:p>
    <w:p>
      <w:pPr>
        <w:pStyle w:val="Heading1"/>
      </w:pPr>
      <w:r>
        <w:t>Process 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System</w:t>
            </w:r>
          </w:p>
        </w:tc>
        <w:tc>
          <w:tcPr>
            <w:tcW w:type="dxa" w:w="2160"/>
          </w:tcPr>
          <w:p>
            <w:r>
              <w:t>Control</w:t>
            </w:r>
          </w:p>
        </w:tc>
        <w:tc>
          <w:tcPr>
            <w:tcW w:type="dxa" w:w="2160"/>
          </w:tcPr>
          <w:p>
            <w:r>
              <w:t>SLA</w:t>
            </w:r>
          </w:p>
        </w:tc>
      </w:tr>
      <w:tr>
        <w:tc>
          <w:tcPr>
            <w:tcW w:type="dxa" w:w="2160"/>
          </w:tcPr>
          <w:p>
            <w:r>
              <w:t>AP proposal</w:t>
            </w:r>
          </w:p>
        </w:tc>
        <w:tc>
          <w:tcPr>
            <w:tcW w:type="dxa" w:w="2160"/>
          </w:tcPr>
          <w:p>
            <w:r>
              <w:t>SAP</w:t>
            </w:r>
          </w:p>
        </w:tc>
        <w:tc>
          <w:tcPr>
            <w:tcW w:type="dxa" w:w="2160"/>
          </w:tcPr>
          <w:p>
            <w:r>
              <w:t>3-way match</w:t>
            </w:r>
          </w:p>
        </w:tc>
        <w:tc>
          <w:tcPr>
            <w:tcW w:type="dxa" w:w="2160"/>
          </w:tcPr>
          <w:p>
            <w:r>
              <w:t>T+0</w:t>
            </w:r>
          </w:p>
        </w:tc>
      </w:tr>
      <w:tr>
        <w:tc>
          <w:tcPr>
            <w:tcW w:type="dxa" w:w="2160"/>
          </w:tcPr>
          <w:p>
            <w:r>
              <w:t>Enrichment/limits</w:t>
            </w:r>
          </w:p>
        </w:tc>
        <w:tc>
          <w:tcPr>
            <w:tcW w:type="dxa" w:w="2160"/>
          </w:tcPr>
          <w:p>
            <w:r>
              <w:t>Kyriba</w:t>
            </w:r>
          </w:p>
        </w:tc>
        <w:tc>
          <w:tcPr>
            <w:tcW w:type="dxa" w:w="2160"/>
          </w:tcPr>
          <w:p>
            <w:r>
              <w:t>limit check</w:t>
            </w:r>
          </w:p>
        </w:tc>
        <w:tc>
          <w:tcPr>
            <w:tcW w:type="dxa" w:w="2160"/>
          </w:tcPr>
          <w:p>
            <w:r>
              <w:t>&lt;5m</w:t>
            </w:r>
          </w:p>
        </w:tc>
      </w:tr>
      <w:tr>
        <w:tc>
          <w:tcPr>
            <w:tcW w:type="dxa" w:w="2160"/>
          </w:tcPr>
          <w:p>
            <w:r>
              <w:t>Dual authorization</w:t>
            </w:r>
          </w:p>
        </w:tc>
        <w:tc>
          <w:tcPr>
            <w:tcW w:type="dxa" w:w="2160"/>
          </w:tcPr>
          <w:p>
            <w:r>
              <w:t>Kyriba</w:t>
            </w:r>
          </w:p>
        </w:tc>
        <w:tc>
          <w:tcPr>
            <w:tcW w:type="dxa" w:w="2160"/>
          </w:tcPr>
          <w:p>
            <w:r>
              <w:t>SoD</w:t>
            </w:r>
          </w:p>
        </w:tc>
        <w:tc>
          <w:tcPr>
            <w:tcW w:type="dxa" w:w="2160"/>
          </w:tcPr>
          <w:p>
            <w:r>
              <w:t>same day</w:t>
            </w:r>
          </w:p>
        </w:tc>
      </w:tr>
      <w:tr>
        <w:tc>
          <w:tcPr>
            <w:tcW w:type="dxa" w:w="2160"/>
          </w:tcPr>
          <w:p>
            <w:r>
              <w:t>Sanctions screening</w:t>
            </w:r>
          </w:p>
        </w:tc>
        <w:tc>
          <w:tcPr>
            <w:tcW w:type="dxa" w:w="2160"/>
          </w:tcPr>
          <w:p>
            <w:r>
              <w:t>Kyriba/AML</w:t>
            </w:r>
          </w:p>
        </w:tc>
        <w:tc>
          <w:tcPr>
            <w:tcW w:type="dxa" w:w="2160"/>
          </w:tcPr>
          <w:p>
            <w:r>
              <w:t>OFAC/EU</w:t>
            </w:r>
          </w:p>
        </w:tc>
        <w:tc>
          <w:tcPr>
            <w:tcW w:type="dxa" w:w="2160"/>
          </w:tcPr>
          <w:p>
            <w:r>
              <w:t>real-time</w:t>
            </w:r>
          </w:p>
        </w:tc>
      </w:tr>
      <w:tr>
        <w:tc>
          <w:tcPr>
            <w:tcW w:type="dxa" w:w="2160"/>
          </w:tcPr>
          <w:p>
            <w:r>
              <w:t>Transmit pain.001</w:t>
            </w:r>
          </w:p>
        </w:tc>
        <w:tc>
          <w:tcPr>
            <w:tcW w:type="dxa" w:w="2160"/>
          </w:tcPr>
          <w:p>
            <w:r>
              <w:t>Kyriba→Bank</w:t>
            </w:r>
          </w:p>
        </w:tc>
        <w:tc>
          <w:tcPr>
            <w:tcW w:type="dxa" w:w="2160"/>
          </w:tcPr>
          <w:p>
            <w:r>
              <w:t>format validation</w:t>
            </w:r>
          </w:p>
        </w:tc>
        <w:tc>
          <w:tcPr>
            <w:tcW w:type="dxa" w:w="2160"/>
          </w:tcPr>
          <w:p>
            <w:r>
              <w:t>intraday</w:t>
            </w:r>
          </w:p>
        </w:tc>
      </w:tr>
      <w:tr>
        <w:tc>
          <w:tcPr>
            <w:tcW w:type="dxa" w:w="2160"/>
          </w:tcPr>
          <w:p>
            <w:r>
              <w:t>Recon camt.053</w:t>
            </w:r>
          </w:p>
        </w:tc>
        <w:tc>
          <w:tcPr>
            <w:tcW w:type="dxa" w:w="2160"/>
          </w:tcPr>
          <w:p>
            <w:r>
              <w:t>Bank→Kyriba→SAP</w:t>
            </w:r>
          </w:p>
        </w:tc>
        <w:tc>
          <w:tcPr>
            <w:tcW w:type="dxa" w:w="2160"/>
          </w:tcPr>
          <w:p>
            <w:r>
              <w:t>auto-match</w:t>
            </w:r>
          </w:p>
        </w:tc>
        <w:tc>
          <w:tcPr>
            <w:tcW w:type="dxa" w:w="2160"/>
          </w:tcPr>
          <w:p>
            <w:r>
              <w:t>T+1</w:t>
            </w:r>
          </w:p>
        </w:tc>
      </w:tr>
    </w:tbl>
    <w:p>
      <w:pPr>
        <w:pStyle w:val="Heading1"/>
      </w:pPr>
      <w:r>
        <w:t>Volumetrics &amp; insight</w:t>
      </w:r>
    </w:p>
    <w:p>
      <w:r>
        <w:t>~412k payments/year across 10 banks; 6.8% exception rate (target &lt;3%). Primary exception drivers: beneficiary bank detail mismatches and missing remittance refs — addressed by vendor master cleanup and payment anomaly detection (see AI use cases).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treasury_kyriba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Process &amp; Payments Factory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treasury_kyriba</cp:category>
</cp:coreProperties>
</file>