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Enterprise Finance &amp; Treasury Modernization: Kyriba Rollout, Corporate Controls, Reporting Rationalization, Vendor Optimization &amp; Value Realization</w:t>
      </w:r>
    </w:p>
    <w:p>
      <w:pPr>
        <w:pStyle w:val="Heading1"/>
      </w:pPr>
      <w:r>
        <w:t>Lakeshore Enterprise Finance &amp; Treasury Modernization: Kyriba Rollout, Corporate Controls, Reporting Rationalization, Vendor Optimization &amp; Value Realization</w:t>
      </w:r>
    </w:p>
    <w:p>
      <w:r>
        <w:t>A Discover brief produced by the Moves Expert Kernel for this Move. The section structure is inherited from the curated Domain Function Pack; every figure is the kernel’s — the baseline is the real recorded / seed-gapped split, unrecorded metrics are named seed gaps, and the verdict is the kernel’s real recommendation, never invented.</w:t>
      </w:r>
    </w:p>
    <w:p>
      <w:pPr>
        <w:pStyle w:val="Heading1"/>
      </w:pPr>
      <w:r>
        <w:t>NO-GO — Discover cannot honestly advance this Move.</w:t>
      </w:r>
    </w:p>
    <w:p>
      <w:r>
        <w:t>Base-case net return is not positive — the Move does not pay back on current assumptions.</w:t>
      </w:r>
    </w:p>
    <w:p>
      <w:r>
        <w:t>Baseline: 4 of 12 Function-Pack operating metrics are recorded by this Move (coverage 33%). The remaining 8 are precise, named seed gaps — not fabricated values.</w:t>
      </w:r>
    </w:p>
    <w:p>
      <w:r>
        <w:t>Assumptions: 13 named assumptions derived from the Function Pack (haircut factors, value narrative, evidence anchors, pain themes); 12 are seed-gap proxies owned by a "to be confirmed with the tenant" placeholder — no human owner is fabricated.</w:t>
      </w:r>
    </w:p>
    <w:p>
      <w:r>
        <w:t>Value: the gross value range is built from the Function Pack's curated value benchmarks — labelled planning ranges, NOT this tenant's own measured unit economics. It is carried as a proxy, so the kernel honestly blocks a claimable dollar payback until the tenant's spend base and the seed-gapped metrics are supplied.</w:t>
      </w:r>
    </w:p>
    <w:p>
      <w:r>
        <w:t>Value: 8 operating metric(s) needed to ground the forecast are seed-gapped — the value range is a planning proxy, not a forecast, until they are closed.</w:t>
      </w:r>
    </w:p>
    <w:p>
      <w:pPr>
        <w:pStyle w:val="Heading1"/>
      </w:pPr>
      <w:r>
        <w:t>This brief inherits the curated Finance, treasury &amp; ALM Discover outline — 7 sections, structure not improvised.</w:t>
      </w:r>
    </w:p>
    <w:p>
      <w:r>
        <w:t>This Discover Brief inherits the curated Finance, treasury &amp;amp; ALM Discover outline from the bound Domain Function Pack. The agent does not improvise the structure — every section below is a curated, function-calibrated heading.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Section heading</w:t>
            </w:r>
          </w:p>
        </w:tc>
        <w:tc>
          <w:tcPr>
            <w:tcW w:type="dxa" w:w="2880"/>
          </w:tcPr>
          <w:p>
            <w:r>
              <w:t>Curated guidance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Balance-sheet and operating context</w:t>
            </w:r>
          </w:p>
        </w:tc>
        <w:tc>
          <w:tcPr>
            <w:tcW w:type="dxa" w:w="2880"/>
          </w:tcPr>
          <w:p>
            <w:r>
              <w:t>Name the institution and the balance sheet in scope — the asset and funding mix, the rate-cycle stage, and the business mix. State which ALM, general-ledger, FP&amp;A, treasury, and liquidity systems are in use.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Baseline performance against the operating metrics</w:t>
            </w:r>
          </w:p>
        </w:tc>
        <w:tc>
          <w:tcPr>
            <w:tcW w:type="dxa" w:w="2880"/>
          </w:tcPr>
          <w:p>
            <w:r>
              <w:t>Report the current value for each operating metric the function expects — net interest margin, cost of funds, LCR, NSFR, EVE and NII sensitivity, loan-to-deposit, deposit beta, CET1 ratio, return on equity, forecast accuracy, and planning cycle time. For any metric not recorded, name it as a precise seed gap with its data source.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Margin, risk, and balance-sheet analysis</w:t>
            </w:r>
          </w:p>
        </w:tc>
        <w:tc>
          <w:tcPr>
            <w:tcW w:type="dxa" w:w="2880"/>
          </w:tcPr>
          <w:p>
            <w:r>
              <w:t>Analyse where net interest margin is being earned and pressured, how interest-rate risk sits against the board tolerance for NII and EVE, and how the funding base and capital position stand against the regulatory frame.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Diagnosed pain themes</w:t>
            </w:r>
          </w:p>
        </w:tc>
        <w:tc>
          <w:tcPr>
            <w:tcW w:type="dxa" w:w="2880"/>
          </w:tcPr>
          <w:p>
            <w:r>
              <w:t>Walk the function pain themes — spreadsheet-bound planning, misjudged deposit behaviour, slow ALM what-if, funding-concentration blind spots, FTP misallocation, trapped capital, stress-testing disconnect, data-lineage gaps — and state which are present, with the detection signal and supporting evidence.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Value-at-stake hypothesis</w:t>
            </w:r>
          </w:p>
        </w:tc>
        <w:tc>
          <w:tcPr>
            <w:tcW w:type="dxa" w:w="2880"/>
          </w:tcPr>
          <w:p>
            <w:r>
              <w:t>Frame the opportunity using the value-model benchmark ranges — margin protection, cycle-time compression, forecast accuracy, buffer efficiency — explicitly haircut for rate-environment contingency, regulatory floors, and data readiness. Every figure a labelled planning range.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Evidence gaps and asks</w:t>
            </w:r>
          </w:p>
        </w:tc>
        <w:tc>
          <w:tcPr>
            <w:tcW w:type="dxa" w:w="2880"/>
          </w:tcPr>
          <w:p>
            <w:r>
              <w:t>List the specific data the diagnosis still needs, who owns each source, and what each gap blocks. A missing metric is a named ask, not a vague unknown.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Recommended Move framing</w:t>
            </w:r>
          </w:p>
        </w:tc>
        <w:tc>
          <w:tcPr>
            <w:tcW w:type="dxa" w:w="2880"/>
          </w:tcPr>
          <w:p>
            <w:r>
              <w:t>State which AI use-case archetype(s) the evidence points to and why, and what the Move would and would not attempt, including the model-governance posture it must hold.</w:t>
            </w:r>
          </w:p>
        </w:tc>
      </w:tr>
    </w:tbl>
    <w:p>
      <w:pPr>
        <w:pStyle w:val="Heading1"/>
      </w:pPr>
      <w:r>
        <w:t>Baseline coverage is 33% — 4 metrics measured and sourced, 8 declared seed gaps, none guessed.</w:t>
      </w:r>
    </w:p>
    <w:p>
      <w:r>
        <w:t>Baseline coverage is 33% — 4 metrics are measured, sourced and dated; 8 are declared seed gaps. Every recorded metric carries a source and a confidence; no missing metric is left blank.</w:t>
      </w:r>
    </w:p>
    <w:p>
      <w:r>
        <w:t>The recorded arc is the share of the metrics this Move needs that are actually measured; the remainder are declared seed gaps.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As of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Cost of funds</w:t>
            </w:r>
          </w:p>
        </w:tc>
        <w:tc>
          <w:tcPr>
            <w:tcW w:type="dxa" w:w="1728"/>
          </w:tcPr>
          <w:p>
            <w:r>
              <w:t>4.6 percent (blended)</w:t>
            </w:r>
          </w:p>
        </w:tc>
        <w:tc>
          <w:tcPr>
            <w:tcW w:type="dxa" w:w="1728"/>
          </w:tcPr>
          <w:p>
            <w:r>
              <w:t>Debt &amp; FX exposure (treasury_kyriba)</w:t>
            </w:r>
          </w:p>
        </w:tc>
        <w:tc>
          <w:tcPr>
            <w:tcW w:type="dxa" w:w="1728"/>
          </w:tcPr>
          <w:p>
            <w:r>
              <w:t>2026-03-31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Return on equity (ROE)</w:t>
            </w:r>
          </w:p>
        </w:tc>
        <w:tc>
          <w:tcPr>
            <w:tcW w:type="dxa" w:w="1728"/>
          </w:tcPr>
          <w:p>
            <w:r>
              <w:t>11.8 percent (EBITDA margin proxy)</w:t>
            </w:r>
          </w:p>
        </w:tc>
        <w:tc>
          <w:tcPr>
            <w:tcW w:type="dxa" w:w="1728"/>
          </w:tcPr>
          <w:p>
            <w:r>
              <w:t>Revenue &amp; cost baseline (finance_performance)</w:t>
            </w:r>
          </w:p>
        </w:tc>
        <w:tc>
          <w:tcPr>
            <w:tcW w:type="dxa" w:w="1728"/>
          </w:tcPr>
          <w:p>
            <w:r>
              <w:t>2026-03-31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Financial-forecast accuracy</w:t>
            </w:r>
          </w:p>
        </w:tc>
        <w:tc>
          <w:tcPr>
            <w:tcW w:type="dxa" w:w="1728"/>
          </w:tcPr>
          <w:p>
            <w:r>
              <w:t>78 percent (forecast vs actual)</w:t>
            </w:r>
          </w:p>
        </w:tc>
        <w:tc>
          <w:tcPr>
            <w:tcW w:type="dxa" w:w="1728"/>
          </w:tcPr>
          <w:p>
            <w:r>
              <w:t>FP&amp;A reconciliation (Lakeshore enterprise context load V1)</w:t>
            </w:r>
          </w:p>
        </w:tc>
        <w:tc>
          <w:tcPr>
            <w:tcW w:type="dxa" w:w="1728"/>
          </w:tcPr>
          <w:p>
            <w:r>
              <w:t>2026-05-31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Planning and close cycle time</w:t>
            </w:r>
          </w:p>
        </w:tc>
        <w:tc>
          <w:tcPr>
            <w:tcW w:type="dxa" w:w="1728"/>
          </w:tcPr>
          <w:p>
            <w:r>
              <w:t>8.5 business days to close</w:t>
            </w:r>
          </w:p>
        </w:tc>
        <w:tc>
          <w:tcPr>
            <w:tcW w:type="dxa" w:w="1728"/>
          </w:tcPr>
          <w:p>
            <w:r>
              <w:t>Month-end close baseline (operations_business_process)</w:t>
            </w:r>
          </w:p>
        </w:tc>
        <w:tc>
          <w:tcPr>
            <w:tcW w:type="dxa" w:w="1728"/>
          </w:tcPr>
          <w:p>
            <w:r>
              <w:t>2026-05-31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Net interest margin (NIM) Seed gap</w:t>
            </w:r>
          </w:p>
        </w:tc>
        <w:tc>
          <w:tcPr>
            <w:tcW w:type="dxa" w:w="1728"/>
          </w:tcPr>
          <w:p>
            <w:r>
              <w:t>Not recorded</w:t>
            </w:r>
          </w:p>
        </w:tc>
        <w:tc>
          <w:tcPr>
            <w:tcW w:type="dxa" w:w="1728"/>
          </w:tcPr>
          <w:p>
            <w:r>
              <w:t>"Net interest margin (NIM)" is not recorded — this function expects it; it is sourced from The general ledger and the ALM system, reconciling interest income and expense against average earning-asset balances.; its absence blocks the baseline and the value forecast.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Liquidity coverage ratio (LCR) Seed gap</w:t>
            </w:r>
          </w:p>
        </w:tc>
        <w:tc>
          <w:tcPr>
            <w:tcW w:type="dxa" w:w="1728"/>
          </w:tcPr>
          <w:p>
            <w:r>
              <w:t>Not recorded</w:t>
            </w:r>
          </w:p>
        </w:tc>
        <w:tc>
          <w:tcPr>
            <w:tcW w:type="dxa" w:w="1728"/>
          </w:tcPr>
          <w:p>
            <w:r>
              <w:t>"Liquidity coverage ratio (LCR)" is not recorded — this function expects it; it is sourced from The liquidity-risk and regulatory-reporting systems, computing HQLA and stressed outflows under the LCR rule.; its absence blocks the baseline and the value forecast.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Net stable funding ratio (NSFR) Seed gap</w:t>
            </w:r>
          </w:p>
        </w:tc>
        <w:tc>
          <w:tcPr>
            <w:tcW w:type="dxa" w:w="1728"/>
          </w:tcPr>
          <w:p>
            <w:r>
              <w:t>Not recorded</w:t>
            </w:r>
          </w:p>
        </w:tc>
        <w:tc>
          <w:tcPr>
            <w:tcW w:type="dxa" w:w="1728"/>
          </w:tcPr>
          <w:p>
            <w:r>
              <w:t>"Net stable funding ratio (NSFR)" is not recorded — this function expects it; it is sourced from The liquidity-risk and regulatory-reporting systems, computing available and required stable funding under the NSFR rule.; its absence blocks the baseline and the value forecast.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Economic-value-of-equity rate sensitivity Seed gap</w:t>
            </w:r>
          </w:p>
        </w:tc>
        <w:tc>
          <w:tcPr>
            <w:tcW w:type="dxa" w:w="1728"/>
          </w:tcPr>
          <w:p>
            <w:r>
              <w:t>Not recorded</w:t>
            </w:r>
          </w:p>
        </w:tc>
        <w:tc>
          <w:tcPr>
            <w:tcW w:type="dxa" w:w="1728"/>
          </w:tcPr>
          <w:p>
            <w:r>
              <w:t>"Economic-value-of-equity rate sensitivity" is not recorded — this function expects it; it is sourced from The ALM system, running the EVE measurement under the institution’s rate-shock scenario set.; its absence blocks the baseline and the value forecast.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Net-interest-income rate sensitivity Seed gap</w:t>
            </w:r>
          </w:p>
        </w:tc>
        <w:tc>
          <w:tcPr>
            <w:tcW w:type="dxa" w:w="1728"/>
          </w:tcPr>
          <w:p>
            <w:r>
              <w:t>Not recorded</w:t>
            </w:r>
          </w:p>
        </w:tc>
        <w:tc>
          <w:tcPr>
            <w:tcW w:type="dxa" w:w="1728"/>
          </w:tcPr>
          <w:p>
            <w:r>
              <w:t>"Net-interest-income rate sensitivity" is not recorded — this function expects it; it is sourced from The ALM system, running the net-interest-income simulation under the institution’s rate scenarios.; its absence blocks the baseline and the value forecast.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Loan-to-deposit ratio Seed gap</w:t>
            </w:r>
          </w:p>
        </w:tc>
        <w:tc>
          <w:tcPr>
            <w:tcW w:type="dxa" w:w="1728"/>
          </w:tcPr>
          <w:p>
            <w:r>
              <w:t>Not recorded</w:t>
            </w:r>
          </w:p>
        </w:tc>
        <w:tc>
          <w:tcPr>
            <w:tcW w:type="dxa" w:w="1728"/>
          </w:tcPr>
          <w:p>
            <w:r>
              <w:t>"Loan-to-deposit ratio" is not recorded — this function expects it; it is sourced from The general ledger and treasury systems, aggregating loan and deposit balances.; its absence blocks the baseline and the value forecast.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Deposit beta Seed gap</w:t>
            </w:r>
          </w:p>
        </w:tc>
        <w:tc>
          <w:tcPr>
            <w:tcW w:type="dxa" w:w="1728"/>
          </w:tcPr>
          <w:p>
            <w:r>
              <w:t>Not recorded</w:t>
            </w:r>
          </w:p>
        </w:tc>
        <w:tc>
          <w:tcPr>
            <w:tcW w:type="dxa" w:w="1728"/>
          </w:tcPr>
          <w:p>
            <w:r>
              <w:t>"Deposit beta" is not recorded — this function expects it; it is sourced from The ALM system and deposit-analytics models, comparing historical deposit-rate moves against benchmark-rate moves.; its absence blocks the baseline and the value forecast.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Common equity tier 1 (CET1) capital ratio Seed gap</w:t>
            </w:r>
          </w:p>
        </w:tc>
        <w:tc>
          <w:tcPr>
            <w:tcW w:type="dxa" w:w="1728"/>
          </w:tcPr>
          <w:p>
            <w:r>
              <w:t>Not recorded</w:t>
            </w:r>
          </w:p>
        </w:tc>
        <w:tc>
          <w:tcPr>
            <w:tcW w:type="dxa" w:w="1728"/>
          </w:tcPr>
          <w:p>
            <w:r>
              <w:t>"Common equity tier 1 (CET1) capital ratio" is not recorded — this function expects it; it is sourced from The capital and regulatory-reporting systems, computing CET1 capital and risk-weighted assets under the regulatory capital framework.; its absence blocks the baseline and the value forecast.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/>
        </w:tc>
      </w:tr>
    </w:tbl>
    <w:p>
      <w:pPr>
        <w:pStyle w:val="Heading1"/>
      </w:pPr>
      <w:r>
        <w:t>There is real value here — but it can only be stated directionally until the monetisation inputs land.</w:t>
      </w:r>
    </w:p>
    <w:p>
      <w:r>
        <w:t>The pain themes below are the curated failure modes the kernel tracks for this function. The value is genuine — but with the monetisation inputs missing it can only be stated directionally, never as a dollar figure.</w:t>
      </w:r>
    </w:p>
    <w:p>
      <w:r>
        <w:t>The band has no dollar axis — it is a directional read of where value is likely to sit, not a sized estimate.</w:t>
      </w:r>
    </w:p>
    <w:p>
      <w:r>
        <w:t>Downside net value (61.03) is below conservative effort (8561401.32) — in the pessimistic case the Move does not pay back. The CFO will ask what protects the floor.</w:t>
      </w:r>
    </w:p>
    <w:p>
      <w:r>
        <w:t>3 of the top-3 case-moving assumptions stand in for absent tenant data (baseline_coverage_gap, haircut_0_rate_environment_and_macro, haircut_1_regulatory_floors_and_risk). Validating these is the highest-leverage next step.</w:t>
      </w:r>
    </w:p>
    <w:p>
      <w:r>
        <w:t>The effort and cost are a planning range derived from the Function Pack archetypes and a researched benchmark rate card — not a quote; a client-specific estimate is required before funding.</w:t>
      </w:r>
    </w:p>
    <w:p>
      <w:r>
        <w:t>The 8 open seed gaps bound how a pilot can be scoped — the solution space narrows until the named metrics land.</w:t>
      </w:r>
    </w:p>
    <w:p>
      <w:r>
        <w:t>The opportunity for Lakeshore Enterprise Finance &amp; Treasury Modernization: Kyriba Rollout, Corporate Controls, Reporting Rationalization, Vendor Optimization &amp; Value Realization rests on the Function Pack’s curated value benchmarks — labelled planning ranges, not this tenant’s own measured economics. Until the seed-gapped monetisation metrics close, the kernel honestly carries the opportunity as a directional read, never a claimable dollar figure.</w:t>
      </w:r>
    </w:p>
    <w:p>
      <w:pPr>
        <w:pStyle w:val="Heading1"/>
      </w:pPr>
      <w:r>
        <w:t>8 expected operating metrics are an open seed gap — closing them is the work that turns this Discover into a fundable Charter.</w:t>
      </w:r>
    </w:p>
    <w:p>
      <w:r>
        <w:t>8 expected operating metrics are an open seed gap. Closing them is the work that converts this Discover into a fundable Charter case — each gap below is named with its source.</w:t>
      </w:r>
    </w:p>
    <w:p>
      <w:r>
        <w:t>The queue is sorted by decision impact — the widest bar is the next evidence ask. Every gap is a curated, expected metric.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Open evidence gap</w:t>
            </w:r>
          </w:p>
        </w:tc>
        <w:tc>
          <w:tcPr>
            <w:tcW w:type="dxa" w:w="2880"/>
          </w:tcPr>
          <w:p>
            <w:r>
              <w:t>Why it is a gap</w:t>
            </w:r>
          </w:p>
        </w:tc>
        <w:tc>
          <w:tcPr>
            <w:tcW w:type="dxa" w:w="2880"/>
          </w:tcPr>
          <w:p>
            <w:r>
              <w:t>Expected data source</w:t>
            </w:r>
          </w:p>
        </w:tc>
      </w:tr>
      <w:tr>
        <w:tc>
          <w:tcPr>
            <w:tcW w:type="dxa" w:w="2880"/>
          </w:tcPr>
          <w:p>
            <w:r>
              <w:t>Net interest margin (NIM) Seed gap</w:t>
            </w:r>
          </w:p>
        </w:tc>
        <w:tc>
          <w:tcPr>
            <w:tcW w:type="dxa" w:w="2880"/>
          </w:tcPr>
          <w:p>
            <w:r>
              <w:t>"Net interest margin (NIM)" is not recorded — this function expects it; it is sourced from The general ledger and the ALM system, reconciling interest income and expense against average earning-asset balances.; its absence blocks the baseline and the value forecast.</w:t>
            </w:r>
          </w:p>
        </w:tc>
        <w:tc>
          <w:tcPr>
            <w:tcW w:type="dxa" w:w="2880"/>
          </w:tcPr>
          <w:p>
            <w:r>
              <w:t>The general ledger and the ALM system, reconciling interest income and expense against average earning-asset balances.</w:t>
            </w:r>
          </w:p>
        </w:tc>
      </w:tr>
      <w:tr>
        <w:tc>
          <w:tcPr>
            <w:tcW w:type="dxa" w:w="2880"/>
          </w:tcPr>
          <w:p>
            <w:r>
              <w:t>Liquidity coverage ratio (LCR) Seed gap</w:t>
            </w:r>
          </w:p>
        </w:tc>
        <w:tc>
          <w:tcPr>
            <w:tcW w:type="dxa" w:w="2880"/>
          </w:tcPr>
          <w:p>
            <w:r>
              <w:t>"Liquidity coverage ratio (LCR)" is not recorded — this function expects it; it is sourced from The liquidity-risk and regulatory-reporting systems, computing HQLA and stressed outflows under the LCR rule.; its absence blocks the baseline and the value forecast.</w:t>
            </w:r>
          </w:p>
        </w:tc>
        <w:tc>
          <w:tcPr>
            <w:tcW w:type="dxa" w:w="2880"/>
          </w:tcPr>
          <w:p>
            <w:r>
              <w:t>The liquidity-risk and regulatory-reporting systems, computing HQLA and stressed outflows under the LCR rule.</w:t>
            </w:r>
          </w:p>
        </w:tc>
      </w:tr>
      <w:tr>
        <w:tc>
          <w:tcPr>
            <w:tcW w:type="dxa" w:w="2880"/>
          </w:tcPr>
          <w:p>
            <w:r>
              <w:t>Net stable funding ratio (NSFR) Seed gap</w:t>
            </w:r>
          </w:p>
        </w:tc>
        <w:tc>
          <w:tcPr>
            <w:tcW w:type="dxa" w:w="2880"/>
          </w:tcPr>
          <w:p>
            <w:r>
              <w:t>"Net stable funding ratio (NSFR)" is not recorded — this function expects it; it is sourced from The liquidity-risk and regulatory-reporting systems, computing available and required stable funding under the NSFR rule.; its absence blocks the baseline and the value forecast.</w:t>
            </w:r>
          </w:p>
        </w:tc>
        <w:tc>
          <w:tcPr>
            <w:tcW w:type="dxa" w:w="2880"/>
          </w:tcPr>
          <w:p>
            <w:r>
              <w:t>The liquidity-risk and regulatory-reporting systems, computing available and required stable funding under the NSFR rule.</w:t>
            </w:r>
          </w:p>
        </w:tc>
      </w:tr>
      <w:tr>
        <w:tc>
          <w:tcPr>
            <w:tcW w:type="dxa" w:w="2880"/>
          </w:tcPr>
          <w:p>
            <w:r>
              <w:t>Economic-value-of-equity rate sensitivity Seed gap</w:t>
            </w:r>
          </w:p>
        </w:tc>
        <w:tc>
          <w:tcPr>
            <w:tcW w:type="dxa" w:w="2880"/>
          </w:tcPr>
          <w:p>
            <w:r>
              <w:t>"Economic-value-of-equity rate sensitivity" is not recorded — this function expects it; it is sourced from The ALM system, running the EVE measurement under the institution’s rate-shock scenario set.; its absence blocks the baseline and the value forecast.</w:t>
            </w:r>
          </w:p>
        </w:tc>
        <w:tc>
          <w:tcPr>
            <w:tcW w:type="dxa" w:w="2880"/>
          </w:tcPr>
          <w:p>
            <w:r>
              <w:t>The ALM system, running the EVE measurement under the institution’s rate-shock scenario set.</w:t>
            </w:r>
          </w:p>
        </w:tc>
      </w:tr>
      <w:tr>
        <w:tc>
          <w:tcPr>
            <w:tcW w:type="dxa" w:w="2880"/>
          </w:tcPr>
          <w:p>
            <w:r>
              <w:t>Net-interest-income rate sensitivity Seed gap</w:t>
            </w:r>
          </w:p>
        </w:tc>
        <w:tc>
          <w:tcPr>
            <w:tcW w:type="dxa" w:w="2880"/>
          </w:tcPr>
          <w:p>
            <w:r>
              <w:t>"Net-interest-income rate sensitivity" is not recorded — this function expects it; it is sourced from The ALM system, running the net-interest-income simulation under the institution’s rate scenarios.; its absence blocks the baseline and the value forecast.</w:t>
            </w:r>
          </w:p>
        </w:tc>
        <w:tc>
          <w:tcPr>
            <w:tcW w:type="dxa" w:w="2880"/>
          </w:tcPr>
          <w:p>
            <w:r>
              <w:t>The ALM system, running the net-interest-income simulation under the institution’s rate scenarios.</w:t>
            </w:r>
          </w:p>
        </w:tc>
      </w:tr>
      <w:tr>
        <w:tc>
          <w:tcPr>
            <w:tcW w:type="dxa" w:w="2880"/>
          </w:tcPr>
          <w:p>
            <w:r>
              <w:t>Loan-to-deposit ratio Seed gap</w:t>
            </w:r>
          </w:p>
        </w:tc>
        <w:tc>
          <w:tcPr>
            <w:tcW w:type="dxa" w:w="2880"/>
          </w:tcPr>
          <w:p>
            <w:r>
              <w:t>"Loan-to-deposit ratio" is not recorded — this function expects it; it is sourced from The general ledger and treasury systems, aggregating loan and deposit balances.; its absence blocks the baseline and the value forecast.</w:t>
            </w:r>
          </w:p>
        </w:tc>
        <w:tc>
          <w:tcPr>
            <w:tcW w:type="dxa" w:w="2880"/>
          </w:tcPr>
          <w:p>
            <w:r>
              <w:t>The general ledger and treasury systems, aggregating loan and deposit balances.</w:t>
            </w:r>
          </w:p>
        </w:tc>
      </w:tr>
      <w:tr>
        <w:tc>
          <w:tcPr>
            <w:tcW w:type="dxa" w:w="2880"/>
          </w:tcPr>
          <w:p>
            <w:r>
              <w:t>Deposit beta Seed gap</w:t>
            </w:r>
          </w:p>
        </w:tc>
        <w:tc>
          <w:tcPr>
            <w:tcW w:type="dxa" w:w="2880"/>
          </w:tcPr>
          <w:p>
            <w:r>
              <w:t>"Deposit beta" is not recorded — this function expects it; it is sourced from The ALM system and deposit-analytics models, comparing historical deposit-rate moves against benchmark-rate moves.; its absence blocks the baseline and the value forecast.</w:t>
            </w:r>
          </w:p>
        </w:tc>
        <w:tc>
          <w:tcPr>
            <w:tcW w:type="dxa" w:w="2880"/>
          </w:tcPr>
          <w:p>
            <w:r>
              <w:t>The ALM system and deposit-analytics models, comparing historical deposit-rate moves against benchmark-rate moves.</w:t>
            </w:r>
          </w:p>
        </w:tc>
      </w:tr>
      <w:tr>
        <w:tc>
          <w:tcPr>
            <w:tcW w:type="dxa" w:w="2880"/>
          </w:tcPr>
          <w:p>
            <w:r>
              <w:t>Common equity tier 1 (CET1) capital ratio Seed gap</w:t>
            </w:r>
          </w:p>
        </w:tc>
        <w:tc>
          <w:tcPr>
            <w:tcW w:type="dxa" w:w="2880"/>
          </w:tcPr>
          <w:p>
            <w:r>
              <w:t>"Common equity tier 1 (CET1) capital ratio" is not recorded — this function expects it; it is sourced from The capital and regulatory-reporting systems, computing CET1 capital and risk-weighted assets under the regulatory capital framework.; its absence blocks the baseline and the value forecast.</w:t>
            </w:r>
          </w:p>
        </w:tc>
        <w:tc>
          <w:tcPr>
            <w:tcW w:type="dxa" w:w="2880"/>
          </w:tcPr>
          <w:p>
            <w:r>
              <w:t>The capital and regulatory-reporting systems, computing CET1 capital and risk-weighted assets under the regulatory capital framework.</w:t>
            </w:r>
          </w:p>
        </w:tc>
      </w:tr>
    </w:tbl>
    <w:p>
      <w:pPr>
        <w:pStyle w:val="Heading1"/>
      </w:pPr>
      <w:r>
        <w:t>NO-GO — Discover cannot honestly advance this Move.</w:t>
      </w:r>
    </w:p>
    <w:p>
      <w:r>
        <w:t>Base-case net return is not positive — the Move does not pay back on current assumptions.</w:t>
      </w:r>
    </w:p>
    <w:p>
      <w:r>
        <w:t>Close the "Net interest margin (NIM)" seed gap — it gates honest sizing.</w:t>
      </w:r>
    </w:p>
    <w:p>
      <w:r>
        <w:t>Close the "Liquidity coverage ratio (LCR)" seed gap — it gates honest sizing.</w:t>
      </w:r>
    </w:p>
    <w:p>
      <w:r>
        <w:t>Close the "Net stable funding ratio (NSFR)" seed gap — it gates honest sizing.</w:t>
      </w:r>
    </w:p>
    <w:p>
      <w:r>
        <w:t>Close the "Economic-value-of-equity rate sensitivity" seed gap — it gates honest sizing.</w:t>
      </w:r>
    </w:p>
    <w:p>
      <w:r>
        <w:t>Close the "Net-interest-income rate sensitivity" seed gap — it gates honest sizing.</w:t>
      </w:r>
    </w:p>
    <w:p>
      <w:r>
        <w:t>Close the "Loan-to-deposit ratio" seed gap — it gates honest sizing.</w:t>
      </w:r>
    </w:p>
    <w:p>
      <w:r>
        <w:t>Close the "Deposit beta" seed gap — it gates honest sizing.</w:t>
      </w:r>
    </w:p>
    <w:p>
      <w:r>
        <w:t>Close the "Common equity tier 1 (CET1) capital ratio" seed gap — it gates honest sizing.</w:t>
      </w:r>
    </w:p>
    <w:p>
      <w:r>
        <w:t>Value cannot be monetised to a hard dollar figure — the gross value range rests on a seed-gap proxy. The CFO will not approve a fabricated return; the case must close the baseline gap first.</w:t>
      </w:r>
    </w:p>
    <w:p>
      <w:r>
        <w:t>8 baseline metric(s) are seed gaps (coverage 33%): Net interest margin (NIM), Liquidity coverage ratio (LCR), Net stable funding ratio (NSFR), Economic-value-of-equity rate sensitivity, Net-interest-income rate sensitivity, Loan-to-deposit ratio, Deposit beta, Common equity tier 1 (CET1) capital ratio. The case is grounded only on what is recorded.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Lakeshore Enterprise Finance &amp; Treasury Modernization: Kyriba Rollout, Corporate Controls, Reporting Rationalization, Vendor Optimization &amp; Value Realization</dc:title>
  <dc:subject/>
  <dc:creator>AbarVa Expert Kernel</dc:creator>
  <cp:keywords/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