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Enterprise Finance &amp; Treasury Modernization: Kyriba Rollout, Corporate Controls, Reporting Rationalization, Vendor Optimization &amp; Value Realization</w:t>
      </w:r>
    </w:p>
    <w:p>
      <w:pPr>
        <w:pStyle w:val="Heading1"/>
      </w:pPr>
      <w:r>
        <w:t>Lakeshore Enterprise Finance &amp; Treasury Modernization: Kyriba Rollout, Corporate Controls, Reporting Rationalization, Vendor Optimization &amp; Value Realization</w:t>
      </w:r>
    </w:p>
    <w:p>
      <w:r>
        <w:t>A board-grade Mobilize &amp; Go-Decision Packet produced by the Moves Expert Kernel for this Move. The mobilization-plan structure is inherited from the curated Domain Function Pack; every figure is the kernel’s, and the go-decision is the kernel’s real verdict — never an invented `go`.</w:t>
      </w:r>
    </w:p>
    <w:p>
      <w:pPr>
        <w:pStyle w:val="Heading1"/>
      </w:pPr>
      <w:r>
        <w:t>NO-GO — the Move does not pay back on current assumptions; do not mobilize.</w:t>
      </w:r>
    </w:p>
    <w:p>
      <w:r>
        <w:t>Base-case net return is not positive — the Move does not pay back on current assumptions.</w:t>
      </w:r>
    </w:p>
    <w:p>
      <w:r>
        <w:t>Value cannot be monetised to a hard dollar figure — the gross value range rests on a seed-gap proxy. The CFO will not approve a fabricated return; the case must close the baseline gap first.</w:t>
      </w:r>
    </w:p>
    <w:p>
      <w:r>
        <w:t>8 baseline metric(s) are seed gaps (coverage 33%): Net interest margin (NIM), Liquidity coverage ratio (LCR), Net stable funding ratio (NSFR), Economic-value-of-equity rate sensitivity, Net-interest-income rate sensitivity, Loan-to-deposit ratio, Deposit beta, Common equity tier 1 (CET1) capital ratio. The case is grounded only on what is recorded.</w:t>
      </w:r>
    </w:p>
    <w:p>
      <w:pPr>
        <w:pStyle w:val="Heading1"/>
      </w:pPr>
      <w:r>
        <w:t>This packet inherits the curated Finance, treasury &amp; ALM mobilization outline — 8 sections, the plan structure is not improvised.</w:t>
      </w:r>
    </w:p>
    <w:p>
      <w:r>
        <w:t>This Mobilize &amp; Go-Decision Packet inherits the curated Finance, treasury &amp;amp; ALM mobilization-plan outline from the bound Domain Function Pack. The agent does not improvise the plan — every section below is a curated, function-calibrated heading.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Section heading</w:t>
            </w:r>
          </w:p>
        </w:tc>
        <w:tc>
          <w:tcPr>
            <w:tcW w:type="dxa" w:w="2880"/>
          </w:tcPr>
          <w:p>
            <w:r>
              <w:t>Curated guidance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Executive answer</w:t>
            </w:r>
          </w:p>
        </w:tc>
        <w:tc>
          <w:tcPr>
            <w:tcW w:type="dxa" w:w="2880"/>
          </w:tcPr>
          <w:p>
            <w:r>
              <w:t>State the funding ask, the headline value separated into margin and return, capital and funding efficiency, and finance productivity, the time-to-value band, and the go / hold recommendation in one read.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 model</w:t>
            </w:r>
          </w:p>
        </w:tc>
        <w:tc>
          <w:tcPr>
            <w:tcW w:type="dxa" w:w="2880"/>
          </w:tcPr>
          <w:p>
            <w:r>
              <w:t>Anchor every value claim to a measured baseline operating metric — NIM, cost of funds, forecast accuracy, cycle time, buffer levels, return on equity. Where a baseline is a seed gap, say so and state what closing it requires before funding.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Scenario-conditional value forecast and haircuts</w:t>
            </w:r>
          </w:p>
        </w:tc>
        <w:tc>
          <w:tcPr>
            <w:tcW w:type="dxa" w:w="2880"/>
          </w:tcPr>
          <w:p>
            <w:r>
              <w:t>Build the forecast from the value-model benchmark ranges, then apply each dominant haircut factor — rate-environment contingency, regulatory floors and risk-appetite ceilings, data and model readiness, governance and adoption — explicitly and show the haircut math. Present rate-dependent gains as scenario-conditional, never certain.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Cost and effort</w:t>
            </w:r>
          </w:p>
        </w:tc>
        <w:tc>
          <w:tcPr>
            <w:tcW w:type="dxa" w:w="2880"/>
          </w:tcPr>
          <w:p>
            <w:r>
              <w:t>Cost the build, the integration to the ALM, general-ledger, FP&amp;A, treasury, and liquidity systems, the model risk-management and validation overhead, and the operating-model change in the finance and treasury organisation.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Sensitivity and downside</w:t>
            </w:r>
          </w:p>
        </w:tc>
        <w:tc>
          <w:tcPr>
            <w:tcW w:type="dxa" w:w="2880"/>
          </w:tcPr>
          <w:p>
            <w:r>
              <w:t>Show how the case moves under an adverse rate scenario, tighter regulatory constraints, and partial adoption. State the downside the CFO and board are underwriting.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Model governance posture</w:t>
            </w:r>
          </w:p>
        </w:tc>
        <w:tc>
          <w:tcPr>
            <w:tcW w:type="dxa" w:w="2880"/>
          </w:tcPr>
          <w:p>
            <w:r>
              <w:t>State how any ALM, capital, forecasting, or behavioural model is governed under the model risk-management framework, validated, and made explainable to the board and examiners.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Kill criteria and conditions to proceed</w:t>
            </w:r>
          </w:p>
        </w:tc>
        <w:tc>
          <w:tcPr>
            <w:tcW w:type="dxa" w:w="2880"/>
          </w:tcPr>
          <w:p>
            <w:r>
              <w:t>Name the conditions under which the Move should not be funded and the evidence — data lineage, model validation, governance sign-off — that must be in hand before the gate.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Tower measurement plan</w:t>
            </w:r>
          </w:p>
        </w:tc>
        <w:tc>
          <w:tcPr>
            <w:tcW w:type="dxa" w:w="2880"/>
          </w:tcPr>
          <w:p>
            <w:r>
              <w:t>State exactly which operating metrics Tower will track to prove the forecast and the measurement cadence, including the rate-cycle-dependent margin and buffer measures.</w:t>
            </w:r>
          </w:p>
        </w:tc>
      </w:tr>
    </w:tbl>
    <w:p>
      <w:pPr>
        <w:pStyle w:val="Heading1"/>
      </w:pPr>
      <w:r>
        <w:t>The value to mobilize is a planning range built on curated benchmark proxies — the kernel honestly blocks a claimable dollar payback.</w:t>
      </w:r>
    </w:p>
    <w:p>
      <w:r>
        <w:t>Net 3-year value is carried as a planning range — point $113. It rests on the Function Pack's curated benchmark proxies, so the kernel honestly blocks a claimable dollar payback until the tenant's own metrics land.</w:t>
      </w:r>
    </w:p>
    <w:p>
      <w:r>
        <w:t>These foundational and governance lanes are the first money the launch funds — they stand up the operating spine before any pilot value is 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Base cost</w:t>
            </w:r>
          </w:p>
        </w:tc>
        <w:tc>
          <w:tcPr>
            <w:tcW w:type="dxa" w:w="2160"/>
          </w:tcPr>
          <w:p>
            <w:r>
              <w:t>Headcount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$776K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 mo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$716K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5 mo</w:t>
            </w:r>
          </w:p>
        </w:tc>
      </w:tr>
      <w:tr>
        <w:tc>
          <w:tcPr>
            <w:tcW w:type="dxa" w:w="2160"/>
          </w:tcPr>
          <w:p>
            <w:r>
              <w:t>Foundational</w:t>
            </w:r>
          </w:p>
        </w:tc>
        <w:tc>
          <w:tcPr>
            <w:tcW w:type="dxa" w:w="2160"/>
          </w:tcPr>
          <w:p>
            <w:r>
              <w:t>$163K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 mo</w:t>
            </w:r>
          </w:p>
        </w:tc>
      </w:tr>
      <w:tr>
        <w:tc>
          <w:tcPr>
            <w:tcW w:type="dxa" w:w="2160"/>
          </w:tcPr>
          <w:p>
            <w:r>
              <w:t>Data governance</w:t>
            </w:r>
          </w:p>
        </w:tc>
        <w:tc>
          <w:tcPr>
            <w:tcW w:type="dxa" w:w="2160"/>
          </w:tcPr>
          <w:p>
            <w:r>
              <w:t>$397K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 mo</w:t>
            </w:r>
          </w:p>
        </w:tc>
      </w:tr>
    </w:tbl>
    <w:p>
      <w:pPr>
        <w:pStyle w:val="Heading1"/>
      </w:pPr>
      <w:r>
        <w:t>The readiness gates below are scored from the kernel state — the blocked gates are exactly what hold the go-decision.</w:t>
      </w:r>
    </w:p>
    <w:p>
      <w:r>
        <w:t>5 readiness gates are scored from the kernel state. 2 are blocked — and the blocked gates are exactly what hold the go-decision. The heatmap makes the launch pre-conditions explicit, not assumed.</w:t>
      </w:r>
    </w:p>
    <w:p>
      <w:r>
        <w:t>A blocked gate is a hard pre-condition — the launch gate stays held until every blocked row is cleared.</w:t>
      </w:r>
    </w:p>
    <w:p>
      <w:pPr>
        <w:pStyle w:val="Heading1"/>
      </w:pPr>
      <w:r>
        <w:t>4 of 12 metrics are wired to a recorded baseline — the rest are honest seed gaps.</w:t>
      </w:r>
    </w:p>
    <w:p>
      <w:r>
        <w:t>Tower will measure 12 committed value metrics — 4 are wired to a recorded baseline. The remaining 8 are honest seed gaps, carried with a capture plan, never dropped.</w:t>
      </w:r>
    </w:p>
    <w:p>
      <w:r>
        <w:t>The value loop does not yet close — seed-gapped baselines remain.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Baseline</w:t>
            </w:r>
          </w:p>
        </w:tc>
      </w:tr>
      <w:tr>
        <w:tc>
          <w:tcPr>
            <w:tcW w:type="dxa" w:w="4320"/>
          </w:tcPr>
          <w:p>
            <w:r>
              <w:t>Net interest margin (NIM)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"Net interest margin (NIM)" is captured (expected source: The general ledger and the ALM system, reconciling interest income and expense against average earning-asset balances.).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Cost of funds Wired</w:t>
            </w:r>
          </w:p>
        </w:tc>
        <w:tc>
          <w:tcPr>
            <w:tcW w:type="dxa" w:w="4320"/>
          </w:tcPr>
          <w:p>
            <w:r>
              <w:t>4.6 percent (blended)</w:t>
            </w:r>
          </w:p>
        </w:tc>
      </w:tr>
      <w:tr>
        <w:tc>
          <w:tcPr>
            <w:tcW w:type="dxa" w:w="4320"/>
          </w:tcPr>
          <w:p>
            <w:r>
              <w:t>Measurable now from the tenant baseline (Debt &amp; FX exposure (treasury_kyriba)). The improvement target is set with the tenant — the Function Pack benchmark (0.5–3.5 % annualised on average funding, planning-range) frames the range, it is not a committed target.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Liquidity coverage ratio (LCR)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"Liquidity coverage ratio (LCR)" is captured (expected source: The liquidity-risk and regulatory-reporting systems, computing HQLA and stressed outflows under the LCR rule.).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Net stable funding ratio (NSFR)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"Net stable funding ratio (NSFR)" is captured (expected source: The liquidity-risk and regulatory-reporting systems, computing available and required stable funding under the NSFR rule.).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Economic-value-of-equity rate sensitivity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"Economic-value-of-equity rate sensitivity" is captured (expected source: The ALM system, running the EVE measurement under the institution’s rate-shock scenario set.).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Net-interest-income rate sensitivity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"Net-interest-income rate sensitivity" is captured (expected source: The ALM system, running the net-interest-income simulation under the institution’s rate scenarios.).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Loan-to-deposit ratio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"Loan-to-deposit ratio" is captured (expected source: The general ledger and treasury systems, aggregating loan and deposit balances.).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Deposit beta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"Deposit beta" is captured (expected source: The ALM system and deposit-analytics models, comparing historical deposit-rate moves against benchmark-rate moves.).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Common equity tier 1 (CET1) capital ratio Seed gap</w:t>
            </w:r>
          </w:p>
        </w:tc>
        <w:tc>
          <w:tcPr>
            <w:tcW w:type="dxa" w:w="4320"/>
          </w:tcPr>
          <w:p>
            <w:r>
              <w:t>SEED GAP — not recorded</w:t>
            </w:r>
          </w:p>
        </w:tc>
      </w:tr>
      <w:tr>
        <w:tc>
          <w:tcPr>
            <w:tcW w:type="dxa" w:w="4320"/>
          </w:tcPr>
          <w:p>
            <w:r>
              <w:t>SEED GAP — not measurable until the baseline for "Common equity tier 1 (CET1) capital ratio" is captured (expected source: The capital and regulatory-reporting systems, computing CET1 capital and risk-weighted assets under the regulatory capital framework.). Tower cannot verify movement on this metric before the gap is closed.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Return on equity (ROE) Wired</w:t>
            </w:r>
          </w:p>
        </w:tc>
        <w:tc>
          <w:tcPr>
            <w:tcW w:type="dxa" w:w="4320"/>
          </w:tcPr>
          <w:p>
            <w:r>
              <w:t>11.8 percent (EBITDA margin proxy)</w:t>
            </w:r>
          </w:p>
        </w:tc>
      </w:tr>
      <w:tr>
        <w:tc>
          <w:tcPr>
            <w:tcW w:type="dxa" w:w="4320"/>
          </w:tcPr>
          <w:p>
            <w:r>
              <w:t>Measurable now from the tenant baseline (Revenue &amp; cost baseline (finance_performance)). The improvement target is set with the tenant — the Function Pack benchmark (8–15 % return on average equity, planning-range) frames the range, it is not a committed target.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Financial-forecast accuracy Wired</w:t>
            </w:r>
          </w:p>
        </w:tc>
        <w:tc>
          <w:tcPr>
            <w:tcW w:type="dxa" w:w="4320"/>
          </w:tcPr>
          <w:p>
            <w:r>
              <w:t>78 percent (forecast vs actual)</w:t>
            </w:r>
          </w:p>
        </w:tc>
      </w:tr>
      <w:tr>
        <w:tc>
          <w:tcPr>
            <w:tcW w:type="dxa" w:w="4320"/>
          </w:tcPr>
          <w:p>
            <w:r>
              <w:t>Measurable now from the tenant baseline (FP&amp;A reconciliation (Lakeshore enterprise context load V1)). The improvement target is set with the tenant — the Function Pack benchmark (2–10 % mean absolute forecast variance, planning-range) frames the range, it is not a committed target.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Planning and close cycle time Wired</w:t>
            </w:r>
          </w:p>
        </w:tc>
        <w:tc>
          <w:tcPr>
            <w:tcW w:type="dxa" w:w="4320"/>
          </w:tcPr>
          <w:p>
            <w:r>
              <w:t>8.5 business days to close</w:t>
            </w:r>
          </w:p>
        </w:tc>
      </w:tr>
      <w:tr>
        <w:tc>
          <w:tcPr>
            <w:tcW w:type="dxa" w:w="4320"/>
          </w:tcPr>
          <w:p>
            <w:r>
              <w:t>Measurable now from the tenant baseline (Month-end close baseline (operations_business_process)). The improvement target is set with the tenant — the Function Pack benchmark (3–12 business days per cycle, planning-range) frames the range, it is not a committed target.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Every open action — kill criteria, critic blockers, and the precise seed gaps — is named, never blank.</w:t>
      </w:r>
    </w:p>
    <w:p>
      <w:r>
        <w:t>Nothing that gates the launch is unowned. Every open action — the kill criteria, the open critic blockers, and the precise seed gaps — carries a named owner and an explicit gate impact.</w:t>
      </w:r>
    </w:p>
    <w:p>
      <w:r>
        <w:t>The widest bars are the gate-blocking actions — the critical path to a clean 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 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Gate impact</w:t>
            </w:r>
          </w:p>
        </w:tc>
      </w:tr>
      <w:tr>
        <w:tc>
          <w:tcPr>
            <w:tcW w:type="dxa" w:w="2880"/>
          </w:tcPr>
          <w:p>
            <w:r>
              <w:t>Hold against the kill criterion: Net return is negative in the conservative case (-8561340.29). Kill or re-shape if the downside cannot be lifted above zero. Blocks go-live</w:t>
            </w:r>
          </w:p>
        </w:tc>
        <w:tc>
          <w:tcPr>
            <w:tcW w:type="dxa" w:w="2880"/>
          </w:tcPr>
          <w:p>
            <w:r>
              <w:t>Move sponsor (to be confirmed with the tenant)</w:t>
            </w:r>
          </w:p>
        </w:tc>
        <w:tc>
          <w:tcPr>
            <w:tcW w:type="dxa" w:w="2880"/>
          </w:tcPr>
          <w:p>
            <w:r>
              <w:t>Kill criterion kill_downside_negative — the launch gate stays held while this condition could be tripped.</w:t>
            </w:r>
          </w:p>
        </w:tc>
      </w:tr>
      <w:tr>
        <w:tc>
          <w:tcPr>
            <w:tcW w:type="dxa" w:w="2880"/>
          </w:tcPr>
          <w:p>
            <w:r>
              <w:t>Hold against the kill criterion: The baseline seed gap that blocks monetisation is not closed before the gate — without it the return is unverifiable. Blocks go-live</w:t>
            </w:r>
          </w:p>
        </w:tc>
        <w:tc>
          <w:tcPr>
            <w:tcW w:type="dxa" w:w="2880"/>
          </w:tcPr>
          <w:p>
            <w:r>
              <w:t>Move sponsor (to be confirmed with the tenant)</w:t>
            </w:r>
          </w:p>
        </w:tc>
        <w:tc>
          <w:tcPr>
            <w:tcW w:type="dxa" w:w="2880"/>
          </w:tcPr>
          <w:p>
            <w:r>
              <w:t>Kill criterion kill_monetisation_unresolved — the launch gate stays held while this condition could be tripped.</w:t>
            </w:r>
          </w:p>
        </w:tc>
      </w:tr>
      <w:tr>
        <w:tc>
          <w:tcPr>
            <w:tcW w:type="dxa" w:w="2880"/>
          </w:tcPr>
          <w:p>
            <w:r>
              <w:t>Hold against the kill criterion: Baseline coverage stays below acceptable level — 8 seed gap(s) remain unresolved at the gate. Blocks go-live</w:t>
            </w:r>
          </w:p>
        </w:tc>
        <w:tc>
          <w:tcPr>
            <w:tcW w:type="dxa" w:w="2880"/>
          </w:tcPr>
          <w:p>
            <w:r>
              <w:t>Move sponsor (to be confirmed with the tenant)</w:t>
            </w:r>
          </w:p>
        </w:tc>
        <w:tc>
          <w:tcPr>
            <w:tcW w:type="dxa" w:w="2880"/>
          </w:tcPr>
          <w:p>
            <w:r>
              <w:t>Kill criterion kill_baseline_unclosed — the launch gate stays held while this condition could be tripped.</w:t>
            </w:r>
          </w:p>
        </w:tc>
      </w:tr>
      <w:tr>
        <w:tc>
          <w:tcPr>
            <w:tcW w:type="dxa" w:w="2880"/>
          </w:tcPr>
          <w:p>
            <w:r>
              <w:t>Resolve the open critic blocker: Value cannot be monetised to a hard dollar figure — the gross value range rests on a seed-gap proxy. The CFO will not approve a fabricated return; the case must close the baseline gap first. Blocks go-live</w:t>
            </w:r>
          </w:p>
        </w:tc>
        <w:tc>
          <w:tcPr>
            <w:tcW w:type="dxa" w:w="2880"/>
          </w:tcPr>
          <w:p>
            <w:r>
              <w:t>Move sponsor (to be confirmed with the tenant)</w:t>
            </w:r>
          </w:p>
        </w:tc>
        <w:tc>
          <w:tcPr>
            <w:tcW w:type="dxa" w:w="2880"/>
          </w:tcPr>
          <w:p>
            <w:r>
              <w:t>A critic blocker holds the launch gate until it is resolved.</w:t>
            </w:r>
          </w:p>
        </w:tc>
      </w:tr>
      <w:tr>
        <w:tc>
          <w:tcPr>
            <w:tcW w:type="dxa" w:w="2880"/>
          </w:tcPr>
          <w:p>
            <w:r>
              <w:t>Resolve the open critic blocker: 8 baseline metric(s) are seed gaps (coverage 33%): Net interest margin (NIM), Liquidity coverage ratio (LCR), Net stable funding ratio (NSFR), Economic-value-of-equity rate sensitivity, Net-interest-income rate sensitivity, Loan-to-deposit ratio, Deposit beta, Common equity tier 1 (CET1) capital ratio. The case is grounded only on what is recorded. Blocks go-live</w:t>
            </w:r>
          </w:p>
        </w:tc>
        <w:tc>
          <w:tcPr>
            <w:tcW w:type="dxa" w:w="2880"/>
          </w:tcPr>
          <w:p>
            <w:r>
              <w:t>Move sponsor (to be confirmed with the tenant)</w:t>
            </w:r>
          </w:p>
        </w:tc>
        <w:tc>
          <w:tcPr>
            <w:tcW w:type="dxa" w:w="2880"/>
          </w:tcPr>
          <w:p>
            <w:r>
              <w:t>A critic blocker holds the launch gate until it is resolved.</w:t>
            </w:r>
          </w:p>
        </w:tc>
      </w:tr>
      <w:tr>
        <w:tc>
          <w:tcPr>
            <w:tcW w:type="dxa" w:w="2880"/>
          </w:tcPr>
          <w:p>
            <w:r>
              <w:t>Capture "Net interest margin (NIM)" — "Net interest margin (NIM)" is not recorded — this function expects it; it is sourced from The general ledger and the ALM system, reconciling interest income and expense against average earning-asset balances.;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general ledger and the ALM system, reconciling interest income and expense against average earning-asset balances.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"Liquidity coverage ratio (LCR)" — "Liquidity coverage ratio (LCR)" is not recorded — this function expects it; it is sourced from The liquidity-risk and regulatory-reporting systems, computing HQLA and stressed outflows under the LCR rule.;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liquidity-risk and regulatory-reporting systems, computing HQLA and stressed outflows under the LCR rule.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"Net stable funding ratio (NSFR)" — "Net stable funding ratio (NSFR)" is not recorded — this function expects it; it is sourced from The liquidity-risk and regulatory-reporting systems, computing available and required stable funding under the NSFR rule.;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liquidity-risk and regulatory-reporting systems, computing available and required stable funding under the NSFR rule.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"Economic-value-of-equity rate sensitivity" — "Economic-value-of-equity rate sensitivity" is not recorded — this function expects it; it is sourced from The ALM system, running the EVE measurement under the institution’s rate-shock scenario set.;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ALM system, running the EVE measurement under the institution’s rate-shock scenario set.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"Net-interest-income rate sensitivity" — "Net-interest-income rate sensitivity" is not recorded — this function expects it; it is sourced from The ALM system, running the net-interest-income simulation under the institution’s rate scenarios.;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ALM system, running the net-interest-income simulation under the institution’s rate scenarios.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"Loan-to-deposit ratio" — "Loan-to-deposit ratio" is not recorded — this function expects it; it is sourced from The general ledger and treasury systems, aggregating loan and deposit balances.;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general ledger and treasury systems, aggregating loan and deposit balances.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"Deposit beta" — "Deposit beta" is not recorded — this function expects it; it is sourced from The ALM system and deposit-analytics models, comparing historical deposit-rate moves against benchmark-rate moves.;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ALM system and deposit-analytics models, comparing historical deposit-rate moves against benchmark-rate moves.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  <w:tr>
        <w:tc>
          <w:tcPr>
            <w:tcW w:type="dxa" w:w="2880"/>
          </w:tcPr>
          <w:p>
            <w:r>
              <w:t>Capture "Common equity tier 1 (CET1) capital ratio" — "Common equity tier 1 (CET1) capital ratio" is not recorded — this function expects it; it is sourced from The capital and regulatory-reporting systems, computing CET1 capital and risk-weighted assets under the regulatory capital framework.; its absence blocks the baseline and the value forecast. Pre-launch</w:t>
            </w:r>
          </w:p>
        </w:tc>
        <w:tc>
          <w:tcPr>
            <w:tcW w:type="dxa" w:w="2880"/>
          </w:tcPr>
          <w:p>
            <w:r>
              <w:t>Move sponsor (to be confirmed with the tenant) · expected source: The capital and regulatory-reporting systems, computing CET1 capital and risk-weighted assets under the regulatory capital framework.</w:t>
            </w:r>
          </w:p>
        </w:tc>
        <w:tc>
          <w:tcPr>
            <w:tcW w:type="dxa" w:w="2880"/>
          </w:tcPr>
          <w:p>
            <w:r>
              <w:t>A seed gap weakens the baseline — close it before the value loop is locked.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Lakeshore Enterprise Finance &amp; Treasury Modernization: Kyriba Rollout, Corporate Controls, Reporting Rationalization, Vendor Optimization &amp; Value Realization</dc:title>
  <dc:subject/>
  <dc:creator>AbarVa Expert Kernel</dc:creator>
  <cp:keywords/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