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Costed business-case pack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Contact Center AI Routing — Apex Retail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apex-retail · Move ref apex:move:contact-center-ai-routing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2026-05-19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The full Design &amp; Plan business case: costed roadmap, value-and-effort profile and the human+agent RACI, in CFO-readable prose.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Design &amp; Plan — costed business-case pack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Contact Center AI Routing (apex-retail)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Verdict: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SHAPE — do not fund as-is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critic raised 1 blocker(s) — fund only once they are resolved. Re-shape the Move to close them.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Investment &amp; return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Investment (costed roadmap)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$1,873,179 – $3,085,236 (base $2,203,740)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return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$5,197,584 – $12,462,471 (base $9,105,495)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Payback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monetisable — the value rests on a baseline seed gap, so the kernel returns no payback rather than a fabricated one.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AI-build vs. business-change effort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AI-build effort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$1,694,000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Business-change effort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$509,740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Business-change share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23%</w:t>
            </w:r>
          </w:p>
        </w:tc>
      </w:tr>
    </w:tbl>
    <w:p>
      <w:pPr>
        <w:spacing w:after="40" w:before="40"/>
      </w:pP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Business change is 23% of effort — a credible build-vs-change balance for an AI Move where value depends on people changing how they work.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Costed roadmap — per-phase investment &amp; value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Phase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Investment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Cumulative</w:t>
            </w:r>
          </w:p>
        </w:tc>
        <w:tc>
          <w:tcPr>
            <w:tcW w:type="pct" w:w="1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Annual value unlocked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Foundational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0 — Data &amp; platform foundation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$281,600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$281,600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Yes — enablement only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1 — Routing pilot on Customer Care queues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$1,211,760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$1,493,360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$942,436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2 — Scale-out + process redesign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$130,900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$1,624,260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$1,696,385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3 — Adoption + run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$579,480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$2,203,740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$1,130,924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Three-scenario sensitivity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Scenario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Investment</w:t>
            </w:r>
          </w:p>
        </w:tc>
        <w:tc>
          <w:tcPr>
            <w:tcW w:type="pct" w:w="19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Net value</w:t>
            </w:r>
          </w:p>
        </w:tc>
        <w:tc>
          <w:tcPr>
            <w:tcW w:type="pct" w:w="19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Net return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Base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$2,203,740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$11,309,235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$9,105,495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Conservative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$3,085,236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$8,282,820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$5,197,584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Upside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$1,873,179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$14,335,650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$12,462,471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</w:tbl>
    <w:p>
      <w:pPr>
        <w:spacing w:after="40" w:before="60"/>
      </w:pP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What breaks the case: </w:t>
      </w:r>
      <w:r>
        <w:rPr>
          <w:rFonts w:ascii="Inter" w:cs="Inter" w:eastAsia="Inter" w:hAnsi="Inter"/>
          <w:sz w:val="22"/>
          <w:szCs w:val="22"/>
        </w:rPr>
        <w:t xml:space="preserve">The case breaks if the baseline seed gap is not closed — without the missing unit economics the value range is a proxy, not a forecast.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Downside read: </w:t>
      </w:r>
      <w:r>
        <w:rPr>
          <w:rFonts w:ascii="Inter" w:cs="Inter" w:eastAsia="Inter" w:hAnsi="Inter"/>
          <w:sz w:val="22"/>
          <w:szCs w:val="22"/>
        </w:rPr>
        <w:t xml:space="preserve">The conservative case cannot be expressed in hard dollars — the value rests on a seed-gap proxy. Close the baseline gap before reading the downside as a number.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Human + agent RACI — decision rights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RACI matrix passes every honesty rule — it is governable as drawn.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Decision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Kind</w:t>
            </w:r>
          </w:p>
        </w:tc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Accountable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Approve funding for the Move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CIO (Executive Sponsor)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Priya Iyer (Program Lead)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Select the solution architecture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design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Solution Architect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Solution-Design Agent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Clear the transcript-use privacy review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Elena Fischer (AI Governance)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Priya Iyer (Program Lead)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Execute the AI routing build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delivery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Priya Iyer (Program Lead)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Build Agent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Approve pilot go-live on Customer Care queues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VP Customer Care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Priya Iyer (Program Lead)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Own the agent adoption and change plan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delivery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Mariana Rojas (WFM Lead)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Priya Iyer (Program Lead)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Surfaced flags — roadmap, RACI, critic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[critic/blocker] Value cannot be monetised to a hard dollar figure — the gross value range rests on a seed-gap proxy. The CFO will not approve a fabricated return; the case must close the baseline gap first.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[critic/concern] 4 baseline metric(s) are seed gaps (coverage 60%): Cost per contact (labour), Annual contact volume, Channel mix (voice/chat/IVR split), QA error rate. The case is grounded only on what is recorded.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[critic/concern] 2 of the top-3 case-moving assumptions stand in for absent tenant data (annual_contact_volume, cost_per_contact). Validating these is the highest-leverage next step.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Named assumptions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Every estimate rests on assumptions; the kernel makes them first-class. The three flagged TOP MOVERS move roughly 80% of the case.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annual_contact_volume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Annual agent-handled contact volume is ~9.0M (benchmark for an $80B retailer) — used only to express value in operational hours.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Iyer (Program Lead) · confidence: low · sensitivity impact: high · source: Benchmark proxy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cost_per_contact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Fully-loaded cost per contact is ~$6.50 (benchmark proxy) until the tenant baseline due 2026-05-15 lands.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Brendan Fox (CS Ops) · confidence: low · sensitivity impact: high · source: Benchmark proxy — seed gap (tenant baseline pending)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containment_uplift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AI routing lifts containment ~12 points (28% → 40% target) — the KPI dictionary states this uplift target explicitly.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Iyer (Program Lead) · confidence: medium · sensitivity impact: high · source: KPI kpi:apex:018 stated target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adoption_ramp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Customer Care agents reach 70% steady-state adoption by year 2; the WFM lead is on record preferring agent-assist over IVR replacement.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Mariana Rojas (WFM Lead) · confidence: medium · sensitivity impact: medium · source: Operating telemetry — CC working group notes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privacy_gate_clears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The transcript-use privacy review (2026-05-17 milestone) clears without scope cuts that remove agent-assist features.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Elena Fischer (AI Governance) · confidence: medium · sensitivity impact: medium · source: Move milestone + AI Governance Council notes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rate_card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Blended delivery rate card reflects market rates for AI build and integration roles.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David Okafor (Program Lead) · confidence: medium · sensitivity impact: low · source: Benchmark rate card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Stop / kill criteria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kill_downside_negative: </w:t>
      </w:r>
      <w:r>
        <w:rPr>
          <w:rFonts w:ascii="Inter" w:cs="Inter" w:eastAsia="Inter" w:hAnsi="Inter"/>
          <w:sz w:val="22"/>
          <w:szCs w:val="22"/>
        </w:rPr>
        <w:t xml:space="preserve">Net return is negative in the conservative case (5197584). Kill or re-shape if the downside cannot be lifted above zero.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kill_monetisation_unresolved: </w:t>
      </w:r>
      <w:r>
        <w:rPr>
          <w:rFonts w:ascii="Inter" w:cs="Inter" w:eastAsia="Inter" w:hAnsi="Inter"/>
          <w:sz w:val="22"/>
          <w:szCs w:val="22"/>
        </w:rPr>
        <w:t xml:space="preserve">The baseline seed gap that blocks monetisation is not closed before the gate — without it the return is unverifiable.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kill_baseline_unclosed: </w:t>
      </w:r>
      <w:r>
        <w:rPr>
          <w:rFonts w:ascii="Inter" w:cs="Inter" w:eastAsia="Inter" w:hAnsi="Inter"/>
          <w:sz w:val="22"/>
          <w:szCs w:val="22"/>
        </w:rPr>
        <w:t xml:space="preserve">Baseline coverage stays below acceptable level — 4 seed gap(s) remain unresolved at the gate.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kill_privacy_gate_blocks: </w:t>
      </w:r>
      <w:r>
        <w:rPr>
          <w:rFonts w:ascii="Inter" w:cs="Inter" w:eastAsia="Inter" w:hAnsi="Inter"/>
          <w:sz w:val="22"/>
          <w:szCs w:val="22"/>
        </w:rPr>
        <w:t xml:space="preserve">The 2026-05-17 transcript-use privacy review fails and removes agent-assist features — the value case loses its core mechanism.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What Tower will measure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Contact Center Containment: </w:t>
      </w:r>
      <w:r>
        <w:rPr>
          <w:rFonts w:ascii="Inter" w:cs="Inter" w:eastAsia="Inter" w:hAnsi="Inter"/>
          <w:sz w:val="22"/>
          <w:szCs w:val="22"/>
        </w:rPr>
        <w:t xml:space="preserve">baseline 28 → target 40 percent. Measurable now, but close the NICE-vs-IT reconciliation (due 2026-05-08) before locking the baseline.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Average Handle Time: </w:t>
      </w:r>
      <w:r>
        <w:rPr>
          <w:rFonts w:ascii="Inter" w:cs="Inter" w:eastAsia="Inter" w:hAnsi="Inter"/>
          <w:sz w:val="22"/>
          <w:szCs w:val="22"/>
        </w:rPr>
        <w:t xml:space="preserve">baseline 7.2 → target 6.5 minutes. Measurable from NICE CXone; no gap.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CSAT (post-interaction): </w:t>
      </w:r>
      <w:r>
        <w:rPr>
          <w:rFonts w:ascii="Inter" w:cs="Inter" w:eastAsia="Inter" w:hAnsi="Inter"/>
          <w:sz w:val="22"/>
          <w:szCs w:val="22"/>
        </w:rPr>
        <w:t xml:space="preserve">baseline 4.1 → target 4.4 score_out_of_5. Measurable from Zendesk survey; carry the response-bias caveat.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 per contact (labour): </w:t>
      </w:r>
      <w:r>
        <w:rPr>
          <w:rFonts w:ascii="Inter" w:cs="Inter" w:eastAsia="Inter" w:hAnsi="Inter"/>
          <w:sz w:val="22"/>
          <w:szCs w:val="22"/>
        </w:rPr>
        <w:t xml:space="preserve">baseline Not recorded — seed gap → target Not recorded — seed gap usd. SEED GAP — not measurable until the cost-per-contact baseline (due 2026-05-15) is captured. Tower cannot verify financial value before then.</w:t>
      </w:r>
    </w:p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Costed business-case pack · Contact Center AI Routing</dc:title>
  <dc:creator>AbarVa · Moves</dc:creator>
  <dc:description>The full Design &amp; Plan business case: costed roadmap, value-and-effort profile and the human+agent RACI, in CFO-readable prose.</dc:description>
  <cp:lastModifiedBy>Un-named</cp:lastModifiedBy>
  <cp:revision>1</cp:revision>
  <dcterms:created xsi:type="dcterms:W3CDTF">2026-05-19T23:36:38.277Z</dcterms:created>
  <dcterms:modified xsi:type="dcterms:W3CDTF">2026-05-19T23:36:38.277Z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