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Claims Denial Prevention Intelligence</w:t>
      </w:r>
    </w:p>
    <w:p>
      <w:r>
        <w:t>Synthetic — not real data — AbarVa demo</w:t>
      </w:r>
    </w:p>
    <w:p>
      <w:pPr>
        <w:pStyle w:val="Subtitle"/>
      </w:pPr>
      <w:r>
        <w:t>Discovery request for the invented revenue cycle</w:t>
      </w:r>
    </w:p>
    <w:p>
      <w:r>
        <w:t>The proposed sponsor role is Revenue cycle director. The ask is to test whether reviewed administrative checks before submission can prevent avoidable denials, route corrections to the source team and trace subsequent collected cash. This brief and every source are invented. No source represents a real institution, payer policy, patient or Finance attestation.</w:t>
      </w:r>
    </w:p>
    <w:p>
      <w:pPr>
        <w:pStyle w:val="Heading1"/>
      </w:pPr>
      <w:r>
        <w:t>Why open this Move</w:t>
      </w:r>
    </w:p>
    <w:p>
      <w:r>
        <w:t>The synthetic revenue-cycle team receives denial feedback after submission and works a manually assembled queue. Source teams cannot reliably distinguish expired coverage, authorization mismatch, administrative coding errors and missing attachments. Corrected submissions can inflate the denominator if claim versions are not joined back to the original claim.</w:t>
      </w:r>
    </w:p>
    <w:tbl>
      <w:tblPr>
        <w:tblW w:type="auto" w:w="0"/>
        <w:tblLayout w:type="fixed"/>
        <w:tblLook w:firstColumn="1" w:firstRow="1" w:lastColumn="0" w:lastRow="0" w:noHBand="0" w:noVBand="1" w:val="04A0"/>
      </w:tblPr>
      <w:tblGrid>
        <w:gridCol w:w="5040"/>
        <w:gridCol w:w="5040"/>
      </w:tblGrid>
      <w:tr>
        <w:trPr>
          <w:tblHeader/>
        </w:trPr>
        <w:tc>
          <w:tcPr>
            <w:tcW w:type="dxa" w:w="5040"/>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Trailing year through 2026 Q2</w:t>
            </w:r>
          </w:p>
        </w:tc>
        <w:tc>
          <w:tcPr>
            <w:tcW w:type="dxa" w:w="4752"/>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Synthetic baseline</w:t>
            </w:r>
          </w:p>
        </w:tc>
      </w:tr>
      <w:tr>
        <w:tc>
          <w:tcPr>
            <w:tcW w:type="dxa" w:w="504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Original submitted claims</w:t>
            </w:r>
          </w:p>
        </w:tc>
        <w:tc>
          <w:tcPr>
            <w:tcW w:type="dxa" w:w="4752"/>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618,000</w:t>
            </w:r>
          </w:p>
        </w:tc>
      </w:tr>
      <w:tr>
        <w:tc>
          <w:tcPr>
            <w:tcW w:type="dxa" w:w="50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First initial denials</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97,942</w:t>
            </w:r>
          </w:p>
        </w:tc>
      </w:tr>
      <w:tr>
        <w:tc>
          <w:tcPr>
            <w:tcW w:type="dxa" w:w="504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Initial denial rate</w:t>
            </w:r>
          </w:p>
        </w:tc>
        <w:tc>
          <w:tcPr>
            <w:tcW w:type="dxa" w:w="4752"/>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15.8482%</w:t>
            </w:r>
          </w:p>
        </w:tc>
      </w:tr>
      <w:tr>
        <w:tc>
          <w:tcPr>
            <w:tcW w:type="dxa" w:w="50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Gross charges</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$3,453,384,000.00</w:t>
            </w:r>
          </w:p>
        </w:tc>
      </w:tr>
      <w:tr>
        <w:tc>
          <w:tcPr>
            <w:tcW w:type="dxa" w:w="504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Denied allowed amount</w:t>
            </w:r>
          </w:p>
        </w:tc>
        <w:tc>
          <w:tcPr>
            <w:tcW w:type="dxa" w:w="4752"/>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$195,140,350.00</w:t>
            </w:r>
          </w:p>
        </w:tc>
      </w:tr>
      <w:tr>
        <w:tc>
          <w:tcPr>
            <w:tcW w:type="dxa" w:w="50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Recovered cash on denied claims</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$126,841,227.50</w:t>
            </w:r>
          </w:p>
        </w:tc>
      </w:tr>
      <w:tr>
        <w:tc>
          <w:tcPr>
            <w:tcW w:type="dxa" w:w="504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Final write offs</w:t>
            </w:r>
          </w:p>
        </w:tc>
        <w:tc>
          <w:tcPr>
            <w:tcW w:type="dxa" w:w="4752"/>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$48,785,087.50</w:t>
            </w:r>
          </w:p>
        </w:tc>
      </w:tr>
      <w:tr>
        <w:tc>
          <w:tcPr>
            <w:tcW w:type="dxa" w:w="50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Rework hours</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83,250.70</w:t>
            </w:r>
          </w:p>
        </w:tc>
      </w:tr>
    </w:tbl>
    <w:p>
      <w:r>
        <w:t>Basis: eight-quarter submission cohorts from 2024 Q3 through 2026 Q2. The trailing year is the final four quarters. Original submissions count once; only the first denial counts. Every invented cohort reaches final disposition within 90 days and is mature by 10 October 2026. Recovered cash, write-offs and contractual adjustments partition denied allowed amounts. Gross charges are not a cash benefit basis.</w:t>
      </w:r>
    </w:p>
    <w:p>
      <w:pPr>
        <w:pStyle w:val="Heading1"/>
      </w:pPr>
      <w:r>
        <w:t>Scope and boundaries</w:t>
      </w:r>
    </w:p>
    <w:p>
      <w:r>
        <w:t>Include all four invented facilities, all four invented payer cohorts and all three administrative service groups. Assess original claim identity, service-date coverage, authorization scope, reviewed reason codes, source-team correction routing and receipt reconciliation. Exclude clinical decision support, autonomous submission, real PHI, payer contract changes and source-platform replacement.</w:t>
      </w:r>
    </w:p>
    <w:p>
      <w:r>
        <w:br w:type="page"/>
      </w:r>
    </w:p>
    <w:p>
      <w:pPr>
        <w:pStyle w:val="Heading1"/>
      </w:pPr>
      <w:r>
        <w:t>The invented operating footprint</w:t>
      </w:r>
    </w:p>
    <w:tbl>
      <w:tblPr>
        <w:tblW w:type="auto" w:w="0"/>
        <w:tblLayout w:type="fixed"/>
        <w:tblLook w:firstColumn="1" w:firstRow="1" w:lastColumn="0" w:lastRow="0" w:noHBand="0" w:noVBand="1" w:val="04A0"/>
      </w:tblPr>
      <w:tblGrid>
        <w:gridCol w:w="5040"/>
        <w:gridCol w:w="5040"/>
      </w:tblGrid>
      <w:tr>
        <w:trPr>
          <w:tblHeader/>
        </w:trPr>
        <w:tc>
          <w:tcPr>
            <w:tcW w:type="dxa" w:w="1584"/>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Facility ID</w:t>
            </w:r>
          </w:p>
        </w:tc>
        <w:tc>
          <w:tcPr>
            <w:tcW w:type="dxa" w:w="8208"/>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Invented organisation</w:t>
            </w:r>
          </w:p>
        </w:tc>
      </w:tr>
      <w:tr>
        <w:tc>
          <w:tcPr>
            <w:tcW w:type="dxa" w:w="158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F-01</w:t>
            </w:r>
          </w:p>
        </w:tc>
        <w:tc>
          <w:tcPr>
            <w:tcW w:type="dxa" w:w="820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Demo Hospital Amber</w:t>
            </w:r>
          </w:p>
        </w:tc>
      </w:tr>
      <w:tr>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F-02</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Demo Hospital Violet</w:t>
            </w:r>
          </w:p>
        </w:tc>
      </w:tr>
      <w:tr>
        <w:tc>
          <w:tcPr>
            <w:tcW w:type="dxa" w:w="158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F-03</w:t>
            </w:r>
          </w:p>
        </w:tc>
        <w:tc>
          <w:tcPr>
            <w:tcW w:type="dxa" w:w="820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Demo Hospital Copper</w:t>
            </w:r>
          </w:p>
        </w:tc>
      </w:tr>
      <w:tr>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F-04</w:t>
            </w:r>
          </w:p>
        </w:tc>
        <w:tc>
          <w:tcPr>
            <w:tcW w:type="dxa" w:w="82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Demo Physician Group Indigo</w:t>
            </w:r>
          </w:p>
        </w:tc>
      </w:tr>
    </w:tbl>
    <w:p>
      <w:r>
        <w:t>Service groups: SL-01 Hospital ambulatory; SL-02 Hospital inpatient; SL-03 Professional services. These are synthetic administrative cohort labels, not clinical recommendations. All facility and service combinations are invented for the demonstration.</w:t>
      </w:r>
    </w:p>
    <w:tbl>
      <w:tblPr>
        <w:tblW w:type="auto" w:w="0"/>
        <w:tblLayout w:type="fixed"/>
        <w:tblLook w:firstColumn="1" w:firstRow="1" w:lastColumn="0" w:lastRow="0" w:noHBand="0" w:noVBand="1" w:val="04A0"/>
      </w:tblPr>
      <w:tblGrid>
        <w:gridCol w:w="3360"/>
        <w:gridCol w:w="3360"/>
        <w:gridCol w:w="3360"/>
      </w:tblGrid>
      <w:tr>
        <w:trPr>
          <w:tblHeader/>
        </w:trPr>
        <w:tc>
          <w:tcPr>
            <w:tcW w:type="dxa" w:w="1584"/>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Payer ID</w:t>
            </w:r>
          </w:p>
        </w:tc>
        <w:tc>
          <w:tcPr>
            <w:tcW w:type="dxa" w:w="6480"/>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Invented payer</w:t>
            </w:r>
          </w:p>
        </w:tc>
        <w:tc>
          <w:tcPr>
            <w:tcW w:type="dxa" w:w="1728"/>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Claim share</w:t>
            </w:r>
          </w:p>
        </w:tc>
      </w:tr>
      <w:tr>
        <w:tc>
          <w:tcPr>
            <w:tcW w:type="dxa" w:w="158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PY-01</w:t>
            </w:r>
          </w:p>
        </w:tc>
        <w:tc>
          <w:tcPr>
            <w:tcW w:type="dxa" w:w="648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Invented Payer Quartz</w:t>
            </w:r>
          </w:p>
        </w:tc>
        <w:tc>
          <w:tcPr>
            <w:tcW w:type="dxa" w:w="172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40%</w:t>
            </w:r>
          </w:p>
        </w:tc>
      </w:tr>
      <w:tr>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PY-02</w:t>
            </w:r>
          </w:p>
        </w:tc>
        <w:tc>
          <w:tcPr>
            <w:tcW w:type="dxa" w:w="64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Invented Payer Cobalt</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30%</w:t>
            </w:r>
          </w:p>
        </w:tc>
      </w:tr>
      <w:tr>
        <w:tc>
          <w:tcPr>
            <w:tcW w:type="dxa" w:w="158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PY-03</w:t>
            </w:r>
          </w:p>
        </w:tc>
        <w:tc>
          <w:tcPr>
            <w:tcW w:type="dxa" w:w="6480"/>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Invented Payer Ochre</w:t>
            </w:r>
          </w:p>
        </w:tc>
        <w:tc>
          <w:tcPr>
            <w:tcW w:type="dxa" w:w="172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20%</w:t>
            </w:r>
          </w:p>
        </w:tc>
      </w:tr>
      <w:tr>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PY-04</w:t>
            </w:r>
          </w:p>
        </w:tc>
        <w:tc>
          <w:tcPr>
            <w:tcW w:type="dxa" w:w="64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Invented Payer Jade</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10%</w:t>
            </w:r>
          </w:p>
        </w:tc>
      </w:tr>
    </w:tbl>
    <w:p>
      <w:pPr>
        <w:pStyle w:val="Heading1"/>
      </w:pPr>
      <w:r>
        <w:t>Ownership and decision rights</w:t>
      </w:r>
    </w:p>
    <w:p>
      <w:r>
        <w:t>The Revenue cycle director owns the business outcome. Patient access and authorization leads own their administrative checks; the Coding manager and Documentation operations lead own correction rules. The Cash application manager owns receipt linkage. The Finance business partner validates monetary baselines and collection attribution. The Data platform owner owns access and lineage. These are proposed roles; the owner must assign actual authorized Move participants.</w:t>
      </w:r>
    </w:p>
    <w:p>
      <w:pPr>
        <w:pStyle w:val="Heading1"/>
      </w:pPr>
      <w:r>
        <w:t>Success hypotheses for human review</w:t>
      </w:r>
    </w:p>
    <w:p>
      <w:r>
        <w:t>Propose an initial denial-rate target of 11% against the reviewed synthetic baseline. Propose preventing 18% of final write-off exposure, with 65% attribution and 75% probability. Propose reducing rework hours by 22% and days in receivables from 58 to 50. These are planning hypotheses awaiting confirmed register rows and human review, not promised results.</w:t>
      </w:r>
    </w:p>
    <w:p>
      <w:r>
        <w:t>Credit retained allowed revenue only when incremental cash is collected against a matched comparator. Existing recovered receipts cannot be counted again. Administrative time remains capacity with zero monetary value until a role or contract release is recorded. Faster collection changes timing and must not create a second annual revenue lever.</w:t>
      </w:r>
    </w:p>
    <w:p>
      <w:pPr>
        <w:pStyle w:val="Heading1"/>
      </w:pPr>
      <w:r>
        <w:t>Discovery evidence and unanswered questions</w:t>
      </w:r>
    </w:p>
    <w:p>
      <w:r>
        <w:t>Review the cohort workbook, taxonomy, source inventory, interviews, finance baseline, current workflow and invented policy excerpts together. Test whether service-date versions and resubmission IDs join; whether source owners can resolve each primary reason; and whether receipts identify the denied claim. Real access, causal prevention effect, adoption and incremental collections remain untested.</w:t>
      </w:r>
    </w:p>
    <w:p>
      <w:r>
        <w:br w:type="page"/>
      </w:r>
    </w:p>
    <w:p>
      <w:pPr>
        <w:pStyle w:val="Heading1"/>
      </w:pPr>
      <w:r>
        <w:t>Options brought to the design workshop</w:t>
      </w:r>
    </w:p>
    <w:p>
      <w:r>
        <w:t>Governed batch prevention and recovery is the proposed direction for review: a versioned administrative decision ledger, reviewed source-team routing and receipt reconciliation over existing systems. Its advantage is a traceable daily queue; its limitation is batch freshness and the need to check eligibility again before submission. This is an option proposal, not a selected or approved architecture.</w:t>
      </w:r>
    </w:p>
    <w:p>
      <w:r>
        <w:t>A synchronous administrative-check service is an alternative. It could check immediately before submission but needs source-service access, contractual integration and reviewed downtime behaviour. Manual source-team checklists are the minimum-change comparator: low integration cost but weak version lineage and continued manual queue assembly. The owner must compare the options actually served in the product, mark coverage and choose the route personally.</w:t>
      </w:r>
    </w:p>
    <w:p>
      <w:pPr>
        <w:pStyle w:val="Heading1"/>
      </w:pPr>
      <w:r>
        <w:t>Counting the delivery scope once</w:t>
      </w:r>
    </w:p>
    <w:tbl>
      <w:tblPr>
        <w:tblW w:type="auto" w:w="0"/>
        <w:tblLayout w:type="fixed"/>
        <w:tblLook w:firstColumn="1" w:firstRow="1" w:lastColumn="0" w:lastRow="0" w:noHBand="0" w:noVBand="1" w:val="04A0"/>
      </w:tblPr>
      <w:tblGrid>
        <w:gridCol w:w="5040"/>
        <w:gridCol w:w="5040"/>
      </w:tblGrid>
      <w:tr>
        <w:trPr>
          <w:tblHeader/>
        </w:trPr>
        <w:tc>
          <w:tcPr>
            <w:tcW w:type="dxa" w:w="3168"/>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Work block</w:t>
            </w:r>
          </w:p>
        </w:tc>
        <w:tc>
          <w:tcPr>
            <w:tcW w:type="dxa" w:w="6624"/>
            <w:shd w:fill="17283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8"/>
              </w:rPr>
              <w:t>Proposed components</w:t>
            </w:r>
          </w:p>
        </w:tc>
      </w:tr>
      <w:tr>
        <w:tc>
          <w:tcPr>
            <w:tcW w:type="dxa" w:w="316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Shared foundation</w:t>
            </w:r>
          </w:p>
        </w:tc>
        <w:tc>
          <w:tcPr>
            <w:tcW w:type="dxa" w:w="662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6 sources; 28 source tables; 9 standard entities; 0 views; 12 design rows; 24 validation rows</w:t>
            </w:r>
          </w:p>
        </w:tc>
      </w:tr>
      <w:t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UC-1 Submission risk review</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0 new sources or tables; 3 entities; 4 views; 10 design rows; 20 validation rows</w:t>
            </w:r>
          </w:p>
        </w:tc>
      </w:tr>
      <w:tr>
        <w:tc>
          <w:tcPr>
            <w:tcW w:type="dxa" w:w="3168"/>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UC-2 Correction routing and recovery</w:t>
            </w:r>
          </w:p>
        </w:tc>
        <w:tc>
          <w:tcPr>
            <w:tcW w:type="dxa" w:w="6624"/>
            <w:shd w:fill="F1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0 new sources or tables; 4 entities; 5 views; 12 design rows; 24 validation rows</w:t>
            </w:r>
          </w:p>
        </w:tc>
      </w:tr>
    </w:tbl>
    <w:p>
      <w:r>
        <w:t>The shared foundation connects the six inventory sources once. Use-case counts cover additional semantic and queue work only, so reused source tables are not counted again. Unit-hour rows are invented review proposals in the seed rebind; delivery rates must come exclusively from the versioned pricing-engine-v1 cost foundation and the selected pod. No priced estimate or ROM approval is asserted here.</w:t>
      </w:r>
    </w:p>
    <w:p>
      <w:pPr>
        <w:pStyle w:val="Heading1"/>
      </w:pPr>
      <w:r>
        <w:t>Investment and measurement conditions</w:t>
      </w:r>
    </w:p>
    <w:p>
      <w:r>
        <w:t>The proposed budget ceiling is $2,200,000.00. Cost for the value case must come from the current owner-approved ROM; the ceiling is not another cost basis. A proposed ramp starts in month 8, runs for 6 months and uses a conservative 2-month collection lag. The current monthly engine cannot convert an eight-day collection improvement into an invented full-month cash shift.</w:t>
      </w:r>
    </w:p>
    <w:p>
      <w:r>
        <w:t>Before any handoff, the owner reviews the exact seed rows, approves the scoped rebind by name, reviews and approves the priced estimate in P3, then checks the value engine and gate. The resulting documents remain synthetic. P5 prepares handoff to external execution and Tower measurement; it does not claim that execution has started.</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Synthetic discovery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Synthetic — not real data — AbarVa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Denial Prevention Intelligence</dc:title>
  <dc:subject/>
  <dc:creator>AbarVa synthetic fixture</dc:creator>
  <cp:keywords/>
  <dc:description>generated by python-docx</dc:description>
  <cp:lastModifiedBy/>
  <cp:revision>1</cp:revision>
  <dcterms:created xsi:type="dcterms:W3CDTF">2026-10-10T00:00:00Z</dcterms:created>
  <dcterms:modified xsi:type="dcterms:W3CDTF">2013-12-23T23:15:00Z</dcterms:modified>
  <cp:category/>
</cp:coreProperties>
</file>