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Population Health Command Center Case Study</w:t>
      </w:r>
    </w:p>
    <w:p>
      <w:pPr>
        <w:pStyle w:val="Heading2"/>
      </w:pPr>
      <w:r>
        <w:t>1. Organization</w:t>
      </w:r>
    </w:p>
    <w:p>
      <w:r>
        <w:t>Healthcare Demo Network is a synthetic integrated delivery and health-plan enterprise with 418,000 attributed lives. The pack uses cover names, aggregate counts, and no patient-level data.</w:t>
      </w:r>
    </w:p>
    <w:p>
      <w:pPr>
        <w:pStyle w:val="Heading2"/>
      </w:pPr>
      <w:r>
        <w:t>2. Problem Mechanics</w:t>
      </w:r>
    </w:p>
    <w:p>
      <w:r>
        <w:t>The current-state evidence shows 1,142,000 open care gaps across quality, access, chronic-condition, pediatric, and medication-adherence measures. Provider and plan measures intentionally disagree in roughly 29 percent of operating records so the Move has to reconcile source authority rather than summarize one tidy table.</w:t>
      </w:r>
    </w:p>
    <w:p>
      <w:pPr>
        <w:pStyle w:val="Heading2"/>
      </w:pPr>
      <w:r>
        <w:t>3. Why Previous Attempts Failed</w:t>
      </w:r>
    </w:p>
    <w:p>
      <w:r>
        <w:t>A readmission model was retired in 2024 after workflow adoption and monitoring fell behind the stated model performance. A sepsis alert was declined in 2025 because the submission had no monitoring plan and no named clinical owner. A care-gap dashboard never cleared finance review because value inputs were treated as benefits before actuarial sign-off.</w:t>
      </w:r>
    </w:p>
    <w:p>
      <w:pPr>
        <w:pStyle w:val="Heading2"/>
      </w:pPr>
      <w:r>
        <w:t>4. Constraints</w:t>
      </w:r>
    </w:p>
    <w:p>
      <w:r>
        <w:t>The design is constrained by source disagreement, a weekly legacy-platform feed for the island market, a vacant VP Application Services role, missing interface monitoring, unvalidated value inputs, and a required clinical AI governance owner before wave 1.</w:t>
      </w:r>
    </w:p>
    <w:p>
      <w:pPr>
        <w:pStyle w:val="Heading2"/>
      </w:pPr>
      <w:r>
        <w:t>5. Decision Required</w:t>
      </w:r>
    </w:p>
    <w:p>
      <w:r>
        <w:t>The Move must decide whether to charter a governed command center, sequence the first wave around care-gap closure and source reconciliation, and defer model-assist features until monitoring ownership is named.</w:t>
      </w:r>
    </w:p>
    <w:p>
      <w:pPr>
        <w:pStyle w:val="Heading2"/>
      </w:pPr>
      <w:r>
        <w:t>6. Phase Expectations</w:t>
      </w:r>
    </w:p>
    <w:p>
      <w:r>
        <w:t>P0 must name the problem and rejected claims. P1 must identify owners and value inputs. P2 must surface coverage and conflict. P3 must design the data and workflow route. P4 must mobilize monitoring and adoption. P5 must govern benefit readback without converting unvalidated estimates into realized value.</w:t>
      </w:r>
    </w:p>
    <w:p>
      <w:pPr>
        <w:pStyle w:val="Heading2"/>
      </w:pPr>
      <w:r>
        <w:t>7. Moment Worth Showing</w:t>
      </w:r>
    </w:p>
    <w:p>
      <w:r>
        <w:t>The artifact should cite the shadow care-gap registry, the unversioned interface channels, the retired 2024 readmission model, the declined 2025 sepsis alert, and the zero-valued UNVALIDATED benefit inputs.</w:t>
      </w:r>
    </w:p>
    <w:p>
      <w:pPr>
        <w:pStyle w:val="Heading2"/>
      </w:pPr>
      <w:r>
        <w:t>8. What This Does Not Claim</w:t>
      </w:r>
    </w:p>
    <w:p>
      <w:r>
        <w:t>This pack is not loaded into any tenant. It is not a real client record, not a PHI dataset, not a CMS submission, not an actuarial model, and not proof that the live prompt packed the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AbarVa synthetic fixture generator</dc:creator>
  <cp:keywords/>
  <dc:description>generated by python-docx</dc:description>
  <cp:lastModifiedBy/>
  <cp:revision>1</cp:revision>
  <dcterms:created xsi:type="dcterms:W3CDTF">2026-09-05T00:00:00Z</dcterms:created>
  <dcterms:modified xsi:type="dcterms:W3CDTF">2026-09-05T00:00:00Z</dcterms:modified>
  <cp:category/>
</cp:coreProperties>
</file>