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Treasury Policy</w:t>
      </w:r>
    </w:p>
    <w:p>
      <w:r>
        <w:rPr>
          <w:color w:val="6B7280"/>
          <w:sz w:val="16"/>
        </w:rPr>
        <w:t>Lakeshore Holdings · Owner: Elena Vasquez · Source: Treasury · As of: 2026-06-06 · Sensitivity: Internal</w:t>
      </w:r>
    </w:p>
    <w:p>
      <w:pPr>
        <w:pStyle w:val="Heading1"/>
      </w:pPr>
      <w:r>
        <w:t>Scope</w:t>
      </w:r>
    </w:p>
    <w:p>
      <w:r>
        <w:t>Governs cash management, banking, payments, FX/interest-rate risk, and counterparty limits for all Lakeshore entities.</w:t>
      </w:r>
    </w:p>
    <w:p>
      <w:pPr>
        <w:pStyle w:val="Heading1"/>
      </w:pPr>
      <w:r>
        <w:t>Key policies</w:t>
      </w:r>
    </w:p>
    <w:p>
      <w:pPr>
        <w:pStyle w:val="ListBullet"/>
      </w:pPr>
      <w:r>
        <w:t>Minimum cash buffers by entity and currency.</w:t>
      </w:r>
    </w:p>
    <w:p>
      <w:pPr>
        <w:pStyle w:val="ListBullet"/>
      </w:pPr>
      <w:r>
        <w:t>Hedging bands for transactional FX exposure (50-90% coverage).</w:t>
      </w:r>
    </w:p>
    <w:p>
      <w:pPr>
        <w:pStyle w:val="ListBullet"/>
      </w:pPr>
      <w:r>
        <w:t>Counterparty concentration limits per bank.</w:t>
      </w:r>
    </w:p>
    <w:p>
      <w:pPr>
        <w:pStyle w:val="ListBullet"/>
      </w:pPr>
      <w:r>
        <w:t>Dual authorization and four-eyes on all outbound payments.</w:t>
      </w:r>
    </w:p>
    <w:p>
      <w:pPr>
        <w:pStyle w:val="ListBullet"/>
      </w:pPr>
      <w:r>
        <w:t>Quarterly bank account mandate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treasury_kyriba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Treasury Policy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treasury_kyriba</cp:category>
</cp:coreProperties>
</file>