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AWS and Databricks Consumption Evidence</w:t>
      </w:r>
    </w:p>
    <w:p>
      <w:r>
        <w:t>Contract: MER-TECH-LAAMS-001 | Vendor: Cognizant Technology Solutions | Event: SRC-MER-LAAMS-REBID-2027</w:t>
      </w:r>
    </w:p>
    <w:p>
      <w:r>
        <w:t>Synthetic demo evidence only. Not client truth. Use for parser, lineage, workflow, and UI proof only.</w:t>
      </w:r>
    </w:p>
    <w:p>
      <w:r>
        <w:t>This pack explains how cloud spend evidence supports sourcing decisions without competing with AWS native tooling.</w:t>
      </w:r>
    </w:p>
    <w:p>
      <w:pPr>
        <w:pStyle w:val="Heading1"/>
      </w:pPr>
      <w:r>
        <w:t>FinOps evidence</w:t>
      </w:r>
    </w:p>
    <w:p>
      <w:r>
        <w:t>AWS Cost Explorer, CUR, Savings Plans, and Compute Optimizer remain the native tools for AWS-only optimization.</w:t>
      </w:r>
    </w:p>
    <w:p>
      <w:r>
        <w:t>Nexus uses those exports to connect consumption to contract scope, workload ownership, supplier commitments, application criticality, and sourcing leverage.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AWS evidence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Native tool role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Nexus role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CUR service spend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Show cloud cost by service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 spend to contract and workload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Savings Plan coverage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Identify commitment coverage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Convert into supplier obligation or BAFO ask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Tag quality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Show allocation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Block unsupported claims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 usage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Show platform consumption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 dual-run to transition scope</w:t>
            </w:r>
          </w:p>
        </w:tc>
      </w:tr>
    </w:tbl>
    <w:p/>
    <w:p>
      <w:pPr>
        <w:pStyle w:val="Heading1"/>
      </w:pPr>
      <w:r>
        <w:t>AWS CUR monthly appendix</w:t>
      </w:r>
    </w:p>
    <w:p>
      <w:r>
        <w:t>Parser simulation appendix sourced from aws_cur_monthly_summary.csv.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period_month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service_name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workload_tag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unblended_cost_usd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covered_by_commitment_pct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tag_quality_pct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EC2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legacy-analytics-dual-run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75440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91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RDS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claims-analytics-migration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40110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88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provider-quality-pipeline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17820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83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Glue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databricks-transition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11787.5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76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Lambda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legacy-analytics-dual-run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4452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72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CloudWatch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claims-analytics-migration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5612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69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DataTransfer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provider-quality-pipeline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9359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databricks-transition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54450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94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EC2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legacy-analytics-dual-run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78310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91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RDS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claims-analytics-migration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41580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88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provider-quality-pipeline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18450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83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Glue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databricks-transition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12190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76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Lambda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legacy-analytics-dual-run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3864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72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CloudWatch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claims-analytics-migration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5825.5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69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DataTransfer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provider-quality-pipeline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9702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databricks-transition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56375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94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EC2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legacy-analytics-dual-run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81180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91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RDS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claims-analytics-migration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43050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88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provider-quality-pipeline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19080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83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Glue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databricks-transition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10580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76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Lambda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legacy-analytics-dual-run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4011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72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CloudWatch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claims-analytics-migration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6039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69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DataTransfer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provider-quality-pipeline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10045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databricks-transition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58300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94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EC2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legacy-analytics-dual-run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84050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91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RDS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claims-analytics-migration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44520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88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provider-quality-pipeline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16560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83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Glue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databricks-transition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10982.5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76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Lambda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legacy-analytics-dual-run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4158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72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CloudWatch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claims-analytics-migration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6252.5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69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DataTransfer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provider-quality-pipeline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10388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databricks-transition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50600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94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EC2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legacy-analytics-dual-run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86920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91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RDS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claims-analytics-migration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38640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88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provider-quality-pipeline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17190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83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Glue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databricks-transition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11385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76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Lambda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legacy-analytics-dual-run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4305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72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CloudWatch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claims-analytics-migration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6466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69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DataTransfer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provider-quality-pipeline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9016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databricks-transition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52525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94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EC2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legacy-analytics-dual-run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75440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91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RDS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claims-analytics-migration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40110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88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provider-quality-pipeline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17820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83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Glue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databricks-transition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11787.5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76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Lambda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legacy-analytics-dual-run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4452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72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CloudWatch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claims-analytics-migration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5612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69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DataTransfer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provider-quality-pipeline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9359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databricks-transition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54450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94</w:t>
            </w:r>
          </w:p>
        </w:tc>
      </w:tr>
    </w:tbl>
    <w:p/>
    <w:p>
      <w:pPr>
        <w:pStyle w:val="Heading1"/>
      </w:pPr>
      <w:r>
        <w:t>Commitment coverage appendix</w:t>
      </w:r>
    </w:p>
    <w:p>
      <w:r>
        <w:t>Parser simulation appendix sourced from reserved_commitment_coverage.csv.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service_name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trailing_12_spend_usd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eligible_for_commitment_usd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current_commitment_coverage_pct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recommended_action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EC2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965550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620000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review_savings_plan_or_private_rate_commitment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RDS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497490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310000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monitor_or_not_applicable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214470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monitor_or_not_applicable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Glue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137827.5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95000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monitor_or_not_applicable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Lambda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49896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monitor_or_not_applicable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CloudWatch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71827.5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monitor_or_not_applicable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DataTransfer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116081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monitor_or_not_applicable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655325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430000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review_savings_plan_or_private_rate_commitment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