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rFonts w:ascii="Inter" w:cs="Inter" w:eastAsia="Inter" w:hAnsi="Inter"/>
          <w:b/>
          <w:bCs/>
          <w:color w:val="706D66"/>
          <w:spacing w:val="12"/>
          <w:sz w:val="18"/>
          <w:szCs w:val="18"/>
        </w:rPr>
        <w:t xml:space="preserve">ABARVA · MOVES · EXPERT KERNEL</w:t>
      </w:r>
    </w:p>
    <w:p>
      <w:pPr>
        <w:spacing w:after="160" w:before="240" w:line="360"/>
        <w:jc w:val="left"/>
      </w:pPr>
      <w:r>
        <w:rPr>
          <w:rFonts w:ascii="Fraunces" w:cs="Fraunces" w:eastAsia="Fraunces" w:hAnsi="Fraunces"/>
          <w:color w:val="0C1A3A"/>
          <w:sz w:val="44"/>
          <w:szCs w:val="44"/>
        </w:rPr>
        <w:t xml:space="preserve">Charter business-case skeleton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Contact Center AI Routing — Apex Retail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Tenant key apex-retail · Move ref apex:move:contact-center-ai-routing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Generated 2026-05-20</w:t>
      </w:r>
    </w:p>
    <w:p>
      <w:pPr>
        <w:spacing w:after="80" w:before="120"/>
      </w:pPr>
      <w:r>
        <w:rPr>
          <w:rFonts w:ascii="Inter" w:cs="Inter" w:eastAsia="Inter" w:hAnsi="Inter"/>
          <w:i/>
          <w:iCs/>
          <w:color w:val="706D66"/>
          <w:sz w:val="22"/>
          <w:szCs w:val="22"/>
        </w:rPr>
        <w:t xml:space="preserve">The quantified value hypothesis, the CFO-readable business-case skeleton and the stop/kill criteria.</w:t>
      </w: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0C1A3A"/>
          <w:sz w:val="32"/>
          <w:szCs w:val="32"/>
        </w:rPr>
        <w:t xml:space="preserve">Charter — quantified value hypothesis &amp; business-case skeleton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Move: </w:t>
      </w:r>
      <w:r>
        <w:rPr>
          <w:rFonts w:ascii="Inter" w:cs="Inter" w:eastAsia="Inter" w:hAnsi="Inter"/>
          <w:sz w:val="22"/>
          <w:szCs w:val="22"/>
        </w:rPr>
        <w:t xml:space="preserve">Contact Center AI Routing (apex-retail)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Recommendation</w:t>
      </w:r>
    </w:p>
    <w:p>
      <w:pPr>
        <w:spacing w:after="40" w:before="8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Verdict: </w:t>
      </w:r>
      <w:r>
        <w:rPr>
          <w:rFonts w:ascii="Inter" w:cs="Inter" w:eastAsia="Inter" w:hAnsi="Inter"/>
          <w:b/>
          <w:bCs/>
          <w:color w:val="8B1F0F"/>
          <w:sz w:val="26"/>
          <w:szCs w:val="26"/>
        </w:rPr>
        <w:t xml:space="preserve">SHAPE — do not fund as-is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The critic raised 1 blocker(s) — fund only after they are resolved (see critic findings). Re-shape the Move to close them, do not fund as-is.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</w:tblGrid>
      <w:tr>
        <w:tc>
          <w:tcPr>
            <w:tcW w:type="pct" w:w="3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Investment (effort)</w:t>
            </w:r>
          </w:p>
        </w:tc>
        <w:tc>
          <w:tcPr>
            <w:tcW w:type="pct" w:w="6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$1,873,179 – $3,085,236 (base $2,203,740)</w:t>
            </w:r>
          </w:p>
        </w:tc>
      </w:tr>
      <w:tr>
        <w:tc>
          <w:tcPr>
            <w:tcW w:type="pct" w:w="3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Net return</w:t>
            </w:r>
          </w:p>
        </w:tc>
        <w:tc>
          <w:tcPr>
            <w:tcW w:type="pct" w:w="6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$5,197,584 – $12,462,471 (base $9,105,495)</w:t>
            </w:r>
          </w:p>
        </w:tc>
      </w:tr>
      <w:tr>
        <w:tc>
          <w:tcPr>
            <w:tcW w:type="pct" w:w="3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Net value (post-haircut, 3yr)</w:t>
            </w:r>
          </w:p>
        </w:tc>
        <w:tc>
          <w:tcPr>
            <w:tcW w:type="pct" w:w="6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$8,282,820 – $14,335,650 (base $11,309,235)</w:t>
            </w:r>
          </w:p>
        </w:tc>
      </w:tr>
      <w:tr>
        <w:tc>
          <w:tcPr>
            <w:tcW w:type="pct" w:w="3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Payback</w:t>
            </w:r>
          </w:p>
        </w:tc>
        <w:tc>
          <w:tcPr>
            <w:tcW w:type="pct" w:w="6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Not monetisable — the value rests on a baseline seed gap, so the kernel returns no payback rather than a fabricated one.</w:t>
            </w:r>
          </w:p>
        </w:tc>
      </w:tr>
      <w:tr>
        <w:tc>
          <w:tcPr>
            <w:tcW w:type="pct" w:w="3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Monetisable</w:t>
            </w:r>
          </w:p>
        </w:tc>
        <w:tc>
          <w:tcPr>
            <w:tcW w:type="pct" w:w="6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Current-state baseline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Coverage: 60% of metrics are recorded; 4 declared seed gap(s). Every recorded figure carries its source.</w:t>
      </w:r>
    </w:p>
    <w:p>
      <w:pPr>
        <w:spacing w:before="60"/>
      </w:pPr>
    </w:p>
    <w:p>
      <w:pPr>
        <w:spacing w:after="60"/>
      </w:pP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Metric</w:t>
            </w:r>
          </w:p>
        </w:tc>
        <w:tc>
          <w:tcPr>
            <w:tcW w:type="pct" w:w="18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Value</w:t>
            </w:r>
          </w:p>
        </w:tc>
        <w:tc>
          <w:tcPr>
            <w:tcW w:type="pct" w:w="3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Source</w:t>
            </w:r>
          </w:p>
        </w:tc>
        <w:tc>
          <w:tcPr>
            <w:tcW w:type="pct" w:w="14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Quality / confidence</w:t>
            </w:r>
          </w:p>
        </w:tc>
        <w:tc>
          <w:tcPr>
            <w:tcW w:type="pct" w:w="14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As of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Average Handle Time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7.2 minutes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KPI kpi:apex:019 (NICE CXone)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high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2026-04-30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Contact Center Containment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28 percent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KPI kpi:apex:018 (NICE CXone)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medium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2026-04-30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First Call Resolution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68 percent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KPI kpi:apex:020 (NICE CXone)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medium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2026-04-30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Agent Utilization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84 percent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KPI kpi:apex:021 (NICE CXone)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high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2026-04-30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CSAT (post-interaction)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4.1 score_out_of_5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KPI kpi:apex:012 (Zendesk survey)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medium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2026-04-30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Repeat transfer rate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18.4 percent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Move P2 baseline deliverable (Genesys routing export)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medium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2026-05-03</w:t>
            </w:r>
          </w:p>
        </w:tc>
      </w:tr>
      <w:tr>
        <w:tc>
          <w:tcPr>
            <w:tcW w:type="pct" w:w="2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Cost per contact (labour)</w:t>
            </w:r>
          </w:p>
        </w:tc>
        <w:tc>
          <w:tcPr>
            <w:tcW w:type="pct" w:w="18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Not recorded — seed gap</w:t>
            </w:r>
          </w:p>
        </w:tc>
        <w:tc>
          <w:tcPr>
            <w:tcW w:type="pct" w:w="30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seed gap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absent / low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2026-05-18</w:t>
            </w:r>
          </w:p>
        </w:tc>
      </w:tr>
      <w:tr>
        <w:tc>
          <w:tcPr>
            <w:tcW w:type="pct" w:w="2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Annual contact volume</w:t>
            </w:r>
          </w:p>
        </w:tc>
        <w:tc>
          <w:tcPr>
            <w:tcW w:type="pct" w:w="18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Not recorded — seed gap</w:t>
            </w:r>
          </w:p>
        </w:tc>
        <w:tc>
          <w:tcPr>
            <w:tcW w:type="pct" w:w="30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seed gap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absent / low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2026-05-18</w:t>
            </w:r>
          </w:p>
        </w:tc>
      </w:tr>
      <w:tr>
        <w:tc>
          <w:tcPr>
            <w:tcW w:type="pct" w:w="2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Channel mix (voice/chat/IVR split)</w:t>
            </w:r>
          </w:p>
        </w:tc>
        <w:tc>
          <w:tcPr>
            <w:tcW w:type="pct" w:w="18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Not recorded — seed gap</w:t>
            </w:r>
          </w:p>
        </w:tc>
        <w:tc>
          <w:tcPr>
            <w:tcW w:type="pct" w:w="30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seed gap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absent / low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2026-05-18</w:t>
            </w:r>
          </w:p>
        </w:tc>
      </w:tr>
      <w:tr>
        <w:tc>
          <w:tcPr>
            <w:tcW w:type="pct" w:w="2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QA error rate</w:t>
            </w:r>
          </w:p>
        </w:tc>
        <w:tc>
          <w:tcPr>
            <w:tcW w:type="pct" w:w="18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Not recorded — seed gap</w:t>
            </w:r>
          </w:p>
        </w:tc>
        <w:tc>
          <w:tcPr>
            <w:tcW w:type="pct" w:w="30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seed gap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absent / low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2026-05-18</w:t>
            </w:r>
          </w:p>
        </w:tc>
      </w:tr>
    </w:tbl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Named assumptions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Every estimate rests on assumptions; the kernel makes them first-class. The three flagged TOP MOVERS move roughly 80% of the case.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annual_contact_volume</w:t>
      </w:r>
      <w:r>
        <w:rPr>
          <w:rFonts w:ascii="Inter" w:cs="Inter" w:eastAsia="Inter" w:hAnsi="Inter"/>
          <w:color w:val="8B1F0F"/>
          <w:sz w:val="22"/>
          <w:szCs w:val="22"/>
        </w:rPr>
        <w:t xml:space="preserve">  [TOP MOVER · SEED-GAP PROXY]</w:t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Annual agent-handled contact volume is ~9.0M (benchmark for an $80B retailer) — used only to express value in operational hours.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Priya Iyer (Program Lead) · confidence: low · sensitivity impact: high · source: Benchmark proxy — seed gap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cost_per_contact</w:t>
      </w:r>
      <w:r>
        <w:rPr>
          <w:rFonts w:ascii="Inter" w:cs="Inter" w:eastAsia="Inter" w:hAnsi="Inter"/>
          <w:color w:val="8B1F0F"/>
          <w:sz w:val="22"/>
          <w:szCs w:val="22"/>
        </w:rPr>
        <w:t xml:space="preserve">  [TOP MOVER · SEED-GAP PROXY]</w:t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Fully-loaded cost per contact is ~$6.50 (benchmark proxy) until the tenant baseline due 2026-05-15 lands.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Brendan Fox (CS Ops) · confidence: low · sensitivity impact: high · source: Benchmark proxy — seed gap (tenant baseline pending)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containment_uplift</w:t>
      </w:r>
      <w:r>
        <w:rPr>
          <w:rFonts w:ascii="Inter" w:cs="Inter" w:eastAsia="Inter" w:hAnsi="Inter"/>
          <w:color w:val="8B1F0F"/>
          <w:sz w:val="22"/>
          <w:szCs w:val="22"/>
        </w:rPr>
        <w:t xml:space="preserve">  [TOP MOVER]</w:t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AI routing lifts containment ~12 points (28% → 40% target) — the KPI dictionary states this uplift target explicitly.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Priya Iyer (Program Lead) · confidence: medium · sensitivity impact: high · source: KPI kpi:apex:018 stated target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adoption_ramp</w:t>
      </w: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Customer Care agents reach 70% steady-state adoption by year 2; the WFM lead is on record preferring agent-assist over IVR replacement.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Mariana Rojas (WFM Lead) · confidence: medium · sensitivity impact: medium · source: Operating telemetry — CC working group notes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privacy_gate_clears</w:t>
      </w: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The transcript-use privacy review (2026-05-17 milestone) clears without scope cuts that remove agent-assist features.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Elena Fischer (AI Governance) · confidence: medium · sensitivity impact: medium · source: Move milestone + AI Governance Council notes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rate_card</w:t>
      </w: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Blended delivery rate card reflects market rates for AI build and integration roles.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David Okafor (Program Lead) · confidence: medium · sensitivity impact: low · source: Benchmark rate card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Sensitivity — base, conservative, upside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</w:tblGrid>
      <w:tr>
        <w:tc>
          <w:tcPr>
            <w:tcW w:type="pct" w:w="40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Base net return</w:t>
            </w:r>
          </w:p>
        </w:tc>
        <w:tc>
          <w:tcPr>
            <w:tcW w:type="pct" w:w="6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$9,105,495</w:t>
            </w:r>
          </w:p>
        </w:tc>
      </w:tr>
      <w:tr>
        <w:tc>
          <w:tcPr>
            <w:tcW w:type="pct" w:w="40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Conservative net return</w:t>
            </w:r>
          </w:p>
        </w:tc>
        <w:tc>
          <w:tcPr>
            <w:tcW w:type="pct" w:w="6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$5,197,584</w:t>
            </w:r>
          </w:p>
        </w:tc>
      </w:tr>
      <w:tr>
        <w:tc>
          <w:tcPr>
            <w:tcW w:type="pct" w:w="40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Upside net return</w:t>
            </w:r>
          </w:p>
        </w:tc>
        <w:tc>
          <w:tcPr>
            <w:tcW w:type="pct" w:w="6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$12,462,471</w:t>
            </w:r>
          </w:p>
        </w:tc>
      </w:tr>
    </w:tbl>
    <w:p>
      <w:pPr>
        <w:spacing w:after="80"/>
      </w:pPr>
    </w:p>
    <w:p>
      <w:pPr>
        <w:spacing w:after="80" w:before="80" w:line="3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What breaks the case: </w:t>
      </w:r>
      <w:r>
        <w:rPr>
          <w:rFonts w:ascii="Inter" w:cs="Inter" w:eastAsia="Inter" w:hAnsi="Inter"/>
          <w:sz w:val="22"/>
          <w:szCs w:val="22"/>
        </w:rPr>
        <w:t xml:space="preserve">The case breaks if the baseline seed gap is not closed — without the missing unit economics the value range is a proxy, not a forecast.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Stop / kill criteria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kill_downside_negative: </w:t>
      </w:r>
      <w:r>
        <w:rPr>
          <w:rFonts w:ascii="Inter" w:cs="Inter" w:eastAsia="Inter" w:hAnsi="Inter"/>
          <w:sz w:val="22"/>
          <w:szCs w:val="22"/>
        </w:rPr>
        <w:t xml:space="preserve">Net return is negative in the conservative case (5197584). Kill or re-shape if the downside cannot be lifted above zero.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kill_monetisation_unresolved: </w:t>
      </w:r>
      <w:r>
        <w:rPr>
          <w:rFonts w:ascii="Inter" w:cs="Inter" w:eastAsia="Inter" w:hAnsi="Inter"/>
          <w:sz w:val="22"/>
          <w:szCs w:val="22"/>
        </w:rPr>
        <w:t xml:space="preserve">The baseline seed gap that blocks monetisation is not closed before the gate — without it the return is unverifiable.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kill_baseline_unclosed: </w:t>
      </w:r>
      <w:r>
        <w:rPr>
          <w:rFonts w:ascii="Inter" w:cs="Inter" w:eastAsia="Inter" w:hAnsi="Inter"/>
          <w:sz w:val="22"/>
          <w:szCs w:val="22"/>
        </w:rPr>
        <w:t xml:space="preserve">Baseline coverage stays below acceptable level — 4 seed gap(s) remain unresolved at the gate.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kill_privacy_gate_blocks: </w:t>
      </w:r>
      <w:r>
        <w:rPr>
          <w:rFonts w:ascii="Inter" w:cs="Inter" w:eastAsia="Inter" w:hAnsi="Inter"/>
          <w:sz w:val="22"/>
          <w:szCs w:val="22"/>
        </w:rPr>
        <w:t xml:space="preserve">The 2026-05-17 transcript-use privacy review fails and removes agent-assist features — the value case loses its core mechanism.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Critic findings — surfaced, not hidden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[blocker / cfo] cfo_monetisation_blocked: </w:t>
      </w:r>
      <w:r>
        <w:rPr>
          <w:rFonts w:ascii="Inter" w:cs="Inter" w:eastAsia="Inter" w:hAnsi="Inter"/>
          <w:sz w:val="22"/>
          <w:szCs w:val="22"/>
        </w:rPr>
        <w:t xml:space="preserve">Value cannot be monetised to a hard dollar figure — the gross value range rests on a seed-gap proxy. The CFO will not approve a fabricated return; the case must close the baseline gap first.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[concern / data] data_baseline_seed_gaps: </w:t>
      </w:r>
      <w:r>
        <w:rPr>
          <w:rFonts w:ascii="Inter" w:cs="Inter" w:eastAsia="Inter" w:hAnsi="Inter"/>
          <w:sz w:val="22"/>
          <w:szCs w:val="22"/>
        </w:rPr>
        <w:t xml:space="preserve">4 baseline metric(s) are seed gaps (coverage 60%): Cost per contact (labour), Annual contact volume, Channel mix (voice/chat/IVR split), QA error rate. The case is grounded only on what is recorded.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[concern / data] data_top_mover_is_proxy: </w:t>
      </w:r>
      <w:r>
        <w:rPr>
          <w:rFonts w:ascii="Inter" w:cs="Inter" w:eastAsia="Inter" w:hAnsi="Inter"/>
          <w:sz w:val="22"/>
          <w:szCs w:val="22"/>
        </w:rPr>
        <w:t xml:space="preserve">2 of the top-3 case-moving assumptions stand in for absent tenant data (annual_contact_volume, cost_per_contact). Validating these is the highest-leverage next step.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What Tower will measure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Contact Center Containment: </w:t>
      </w:r>
      <w:r>
        <w:rPr>
          <w:rFonts w:ascii="Inter" w:cs="Inter" w:eastAsia="Inter" w:hAnsi="Inter"/>
          <w:sz w:val="22"/>
          <w:szCs w:val="22"/>
        </w:rPr>
        <w:t xml:space="preserve">baseline 28 → target 40 percent. Measurable now, but close the NICE-vs-IT reconciliation (due 2026-05-08) before locking the baseline.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Average Handle Time: </w:t>
      </w:r>
      <w:r>
        <w:rPr>
          <w:rFonts w:ascii="Inter" w:cs="Inter" w:eastAsia="Inter" w:hAnsi="Inter"/>
          <w:sz w:val="22"/>
          <w:szCs w:val="22"/>
        </w:rPr>
        <w:t xml:space="preserve">baseline 7.2 → target 6.5 minutes. Measurable from NICE CXone; no gap.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CSAT (post-interaction): </w:t>
      </w:r>
      <w:r>
        <w:rPr>
          <w:rFonts w:ascii="Inter" w:cs="Inter" w:eastAsia="Inter" w:hAnsi="Inter"/>
          <w:sz w:val="22"/>
          <w:szCs w:val="22"/>
        </w:rPr>
        <w:t xml:space="preserve">baseline 4.1 → target 4.4 score_out_of_5. Measurable from Zendesk survey; carry the response-bias caveat.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Cost per contact (labour): </w:t>
      </w:r>
      <w:r>
        <w:rPr>
          <w:rFonts w:ascii="Inter" w:cs="Inter" w:eastAsia="Inter" w:hAnsi="Inter"/>
          <w:sz w:val="22"/>
          <w:szCs w:val="22"/>
        </w:rPr>
        <w:t xml:space="preserve">baseline Not recorded — seed gap → target Not recorded — seed gap usd. SEED GAP — not measurable until the cost-per-contact baseline (due 2026-05-15) is captured. Tower cannot verify financial value before then.</w:t>
      </w:r>
    </w:p>
    <w:p>
      <w:pPr>
        <w:spacing w:before="200"/>
      </w:pPr>
    </w:p>
    <w:p>
      <w:pPr>
        <w:pBdr>
          <w:top w:val="single" w:color="D8D5CC" w:sz="4" w:space="8"/>
        </w:pBdr>
        <w:spacing w:after="40" w:before="120"/>
      </w:pPr>
      <w:r>
        <w:rPr>
          <w:rFonts w:ascii="Inter" w:cs="Inter" w:eastAsia="Inter" w:hAnsi="Inter"/>
          <w:i/>
          <w:iCs/>
          <w:color w:val="706D66"/>
          <w:sz w:val="18"/>
          <w:szCs w:val="18"/>
        </w:rPr>
        <w:t xml:space="preserve">Every figure in this document is produced by the Moves Expert Kernel from the tenant’s audited substrate. Absent data is declared a seed gap, never invented. Effort rests on a researched planning rate card — a market range, not a quote. Generated by AbarVa · Moves.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Charter business-case skeleton · Contact Center AI Routing</dc:title>
  <dc:creator>AbarVa · Moves</dc:creator>
  <dc:description>The quantified value hypothesis, the CFO-readable business-case skeleton and the stop/kill criteria.</dc:description>
  <cp:lastModifiedBy>Un-named</cp:lastModifiedBy>
  <cp:revision>1</cp:revision>
  <dcterms:created xsi:type="dcterms:W3CDTF">2026-05-20T01:44:02.205Z</dcterms:created>
  <dcterms:modified xsi:type="dcterms:W3CDTF">2026-05-20T01:44:02.205Z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