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Inter" w:cs="Inter" w:eastAsia="Inter" w:hAnsi="Inter"/>
          <w:b/>
          <w:bCs/>
          <w:color w:val="706D66"/>
          <w:spacing w:val="12"/>
          <w:sz w:val="18"/>
          <w:szCs w:val="18"/>
        </w:rPr>
        <w:t xml:space="preserve">ABARVA · MOVES · EXPERT KERNEL</w:t>
      </w:r>
    </w:p>
    <w:p>
      <w:pPr>
        <w:spacing w:after="160" w:before="240" w:line="360"/>
        <w:jc w:val="left"/>
      </w:pPr>
      <w:r>
        <w:rPr>
          <w:rFonts w:ascii="Fraunces" w:cs="Fraunces" w:eastAsia="Fraunces" w:hAnsi="Fraunces"/>
          <w:color w:val="0C1A3A"/>
          <w:sz w:val="44"/>
          <w:szCs w:val="44"/>
        </w:rPr>
        <w:t xml:space="preserve">Discover brief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Contact Center AI Routing — Apex Retail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Tenant key apex-retail · Move ref apex:move:contact-center-ai-routing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Generated 2026-05-20</w:t>
      </w:r>
    </w:p>
    <w:p>
      <w:pPr>
        <w:spacing w:after="80" w:before="120"/>
      </w:pPr>
      <w:r>
        <w:rPr>
          <w:rFonts w:ascii="Inter" w:cs="Inter" w:eastAsia="Inter" w:hAnsi="Inter"/>
          <w:i/>
          <w:iCs/>
          <w:color w:val="706D66"/>
          <w:sz w:val="22"/>
          <w:szCs w:val="22"/>
        </w:rPr>
        <w:t xml:space="preserve">Problem statement, current-state baseline (with source and seed gaps), opportunity sizing and the go/no-go read.</w:t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C1A3A"/>
          <w:sz w:val="32"/>
          <w:szCs w:val="32"/>
        </w:rPr>
        <w:t xml:space="preserve">Discover — problem, baseline, opportunity, go/no-go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Move: </w:t>
      </w:r>
      <w:r>
        <w:rPr>
          <w:rFonts w:ascii="Inter" w:cs="Inter" w:eastAsia="Inter" w:hAnsi="Inter"/>
          <w:sz w:val="22"/>
          <w:szCs w:val="22"/>
        </w:rPr>
        <w:t xml:space="preserve">Contact Center AI Routing (apex-retail)</w:t>
      </w:r>
    </w:p>
    <w:p>
      <w:pPr>
        <w:shd w:fill="FFF4D6" w:color="auto" w:val="clear"/>
        <w:spacing w:after="80" w:before="80" w:line="300"/>
        <w:ind w:left="120" w:right="120"/>
      </w:pPr>
      <w:r>
        <w:rPr>
          <w:rFonts w:ascii="Inter" w:cs="Inter" w:eastAsia="Inter" w:hAnsi="Inter"/>
          <w:color w:val="7A5800"/>
          <w:sz w:val="22"/>
          <w:szCs w:val="22"/>
        </w:rPr>
        <w:t xml:space="preserve">Discover establishes the current state honestly before any solution is shaped. The opportunity can only be stated as far as the recorded baseline allows; declared seed gaps bound it.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Current-state baseline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Coverage: 60% of metrics are recorded; 4 declared seed gap(s). Every recorded figure carries its source.</w:t>
      </w:r>
    </w:p>
    <w:p>
      <w:pPr>
        <w:spacing w:before="60"/>
      </w:pPr>
    </w:p>
    <w:p>
      <w:pPr>
        <w:spacing w:after="60"/>
      </w:pP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Metric</w:t>
            </w:r>
          </w:p>
        </w:tc>
        <w:tc>
          <w:tcPr>
            <w:tcW w:type="pct" w:w="18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Value</w:t>
            </w:r>
          </w:p>
        </w:tc>
        <w:tc>
          <w:tcPr>
            <w:tcW w:type="pct" w:w="3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Source</w:t>
            </w:r>
          </w:p>
        </w:tc>
        <w:tc>
          <w:tcPr>
            <w:tcW w:type="pct" w:w="1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Quality / confidence</w:t>
            </w:r>
          </w:p>
        </w:tc>
        <w:tc>
          <w:tcPr>
            <w:tcW w:type="pct" w:w="1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As of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Average Handle Time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7.2 minutes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kpi:apex:019 (NICE CXone)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2026-04-30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Contact Center Containment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28 percent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kpi:apex:018 (NICE CXone)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medium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2026-04-30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First Call Resolution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68 percent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kpi:apex:020 (NICE CXone)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medium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2026-04-30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Agent Utilization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84 percent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kpi:apex:021 (NICE CXone)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2026-04-30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CSAT (post-interaction)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4.1 score_out_of_5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kpi:apex:012 (Zendesk survey)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medium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2026-04-30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Repeat transfer rate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18.4 percent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Move P2 baseline deliverable (Genesys routing export)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medium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2026-05-03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Cost per contact (labour)</w:t>
            </w:r>
          </w:p>
        </w:tc>
        <w:tc>
          <w:tcPr>
            <w:tcW w:type="pct" w:w="18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30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absent / low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2026-05-18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Annual contact volume</w:t>
            </w:r>
          </w:p>
        </w:tc>
        <w:tc>
          <w:tcPr>
            <w:tcW w:type="pct" w:w="18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30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absent / low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2026-05-18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Channel mix (voice/chat/IVR split)</w:t>
            </w:r>
          </w:p>
        </w:tc>
        <w:tc>
          <w:tcPr>
            <w:tcW w:type="pct" w:w="18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30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absent / low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2026-05-18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QA error rate</w:t>
            </w:r>
          </w:p>
        </w:tc>
        <w:tc>
          <w:tcPr>
            <w:tcW w:type="pct" w:w="18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30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absent / low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2026-05-18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Seed gaps — declared, not fabricated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These inputs are not recorded in the tenant substrate. The kernel declares each one and does not invent a value for it.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Cost per contact (labour): </w:t>
      </w:r>
      <w:r>
        <w:rPr>
          <w:rFonts w:ascii="Inter" w:cs="Inter" w:eastAsia="Inter" w:hAnsi="Inter"/>
          <w:sz w:val="22"/>
          <w:szCs w:val="22"/>
        </w:rPr>
        <w:t xml:space="preserve">Not recorded. Tenant action item "Capture cost-per-contact baseline" (owner Brendan Fox) is due 2026-05-15 — see operating telemetry.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Annual contact volume: </w:t>
      </w:r>
      <w:r>
        <w:rPr>
          <w:rFonts w:ascii="Inter" w:cs="Inter" w:eastAsia="Inter" w:hAnsi="Inter"/>
          <w:sz w:val="22"/>
          <w:szCs w:val="22"/>
        </w:rPr>
        <w:t xml:space="preserve">Not recorded in the KPI dictionary, telemetry, or the Move baseline. Needed to convert AHT/containment deltas into FTE-hours and dollars.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Channel mix (voice/chat/IVR split): </w:t>
      </w:r>
      <w:r>
        <w:rPr>
          <w:rFonts w:ascii="Inter" w:cs="Inter" w:eastAsia="Inter" w:hAnsi="Inter"/>
          <w:sz w:val="22"/>
          <w:szCs w:val="22"/>
        </w:rPr>
        <w:t xml:space="preserve">Containment note references "IVR + chatbot" but no structured split is seeded.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QA error rate: </w:t>
      </w:r>
      <w:r>
        <w:rPr>
          <w:rFonts w:ascii="Inter" w:cs="Inter" w:eastAsia="Inter" w:hAnsi="Inter"/>
          <w:sz w:val="22"/>
          <w:szCs w:val="22"/>
        </w:rPr>
        <w:t xml:space="preserve">No contact-centre quality-defect metric is seeded for Apex.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Opportunity &amp; go/no-go read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The case breaks if the baseline seed gap is not closed — without the missing unit economics the value range is a proxy, not a forecast.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Recommendation</w:t>
      </w:r>
    </w:p>
    <w:p>
      <w:pPr>
        <w:spacing w:after="40" w:before="8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Verdict: </w:t>
      </w:r>
      <w:r>
        <w:rPr>
          <w:rFonts w:ascii="Inter" w:cs="Inter" w:eastAsia="Inter" w:hAnsi="Inter"/>
          <w:b/>
          <w:bCs/>
          <w:color w:val="8B1F0F"/>
          <w:sz w:val="26"/>
          <w:szCs w:val="26"/>
        </w:rPr>
        <w:t xml:space="preserve">SHAPE — do not fund as-is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The critic raised 1 blocker(s) — fund only after they are resolved (see critic findings). Re-shape the Move to close them, do not fund as-is.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</w:tblGrid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Investment (effort)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$1,873,179 – $3,085,236 (base $2,203,740)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Net return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$5,197,584 – $12,462,471 (base $9,105,495)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Net value (post-haircut, 3yr)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$8,282,820 – $14,335,650 (base $11,309,235)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Payback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monetisable — the value rests on a baseline seed gap, so the kernel returns no payback rather than a fabricated one.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Monetisable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200"/>
      </w:pPr>
    </w:p>
    <w:p>
      <w:pPr>
        <w:pBdr>
          <w:top w:val="single" w:color="D8D5CC" w:sz="4" w:space="8"/>
        </w:pBdr>
        <w:spacing w:after="40" w:before="120"/>
      </w:pPr>
      <w:r>
        <w:rPr>
          <w:rFonts w:ascii="Inter" w:cs="Inter" w:eastAsia="Inter" w:hAnsi="Inter"/>
          <w:i/>
          <w:iCs/>
          <w:color w:val="706D66"/>
          <w:sz w:val="18"/>
          <w:szCs w:val="18"/>
        </w:rPr>
        <w:t xml:space="preserve">Every figure in this document is produced by the Moves Expert Kernel from the tenant’s audited substrate. Absent data is declared a seed gap, never invented. Effort rests on a researched planning rate card — a market range, not a quote. Generated by AbarVa · Moves.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 brief · Contact Center AI Routing</dc:title>
  <dc:creator>AbarVa · Moves</dc:creator>
  <dc:description>Problem statement, current-state baseline (with source and seed gaps), opportunity sizing and the go/no-go read.</dc:description>
  <cp:lastModifiedBy>Un-named</cp:lastModifiedBy>
  <cp:revision>1</cp:revision>
  <dcterms:created xsi:type="dcterms:W3CDTF">2026-05-20T01:44:02.100Z</dcterms:created>
  <dcterms:modified xsi:type="dcterms:W3CDTF">2026-05-20T01:44:02.100Z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