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</w:pPr>
      <w:r>
        <w:rPr>
          <w:rFonts w:ascii="Inter" w:cs="Inter" w:eastAsia="Inter" w:hAnsi="Inter"/>
          <w:b/>
          <w:bCs/>
          <w:color w:val="706D66"/>
          <w:spacing w:val="12"/>
          <w:sz w:val="18"/>
          <w:szCs w:val="18"/>
        </w:rPr>
        <w:t xml:space="preserve">ABARVA · MOVES · EXPERT KERNEL</w:t>
      </w:r>
    </w:p>
    <w:p>
      <w:pPr>
        <w:spacing w:after="160" w:before="240" w:line="360"/>
        <w:jc w:val="left"/>
      </w:pPr>
      <w:r>
        <w:rPr>
          <w:rFonts w:ascii="Fraunces" w:cs="Fraunces" w:eastAsia="Fraunces" w:hAnsi="Fraunces"/>
          <w:color w:val="0C1A3A"/>
          <w:sz w:val="44"/>
          <w:szCs w:val="44"/>
        </w:rPr>
        <w:t xml:space="preserve">Charter business-case skeleton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Fraud Detection Enhancement — First Capital Financial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Tenant key first-capital · Move ref first-capital:move:FC-FRAUD-2026</w:t>
      </w:r>
    </w:p>
    <w:p>
      <w:pPr>
        <w:spacing w:after="60" w:before="0"/>
      </w:pPr>
      <w:r>
        <w:rPr>
          <w:rFonts w:ascii="Inter" w:cs="Inter" w:eastAsia="Inter" w:hAnsi="Inter"/>
          <w:color w:val="706D66"/>
          <w:sz w:val="22"/>
          <w:szCs w:val="22"/>
        </w:rPr>
        <w:t xml:space="preserve">Generated 2026-05-20</w:t>
      </w:r>
    </w:p>
    <w:p>
      <w:pPr>
        <w:spacing w:after="80" w:before="120"/>
      </w:pPr>
      <w:r>
        <w:rPr>
          <w:rFonts w:ascii="Inter" w:cs="Inter" w:eastAsia="Inter" w:hAnsi="Inter"/>
          <w:i/>
          <w:iCs/>
          <w:color w:val="706D66"/>
          <w:sz w:val="22"/>
          <w:szCs w:val="22"/>
        </w:rPr>
        <w:t xml:space="preserve">The quantified value hypothesis, the CFO-readable business-case skeleton and the stop/kill criteria.</w:t>
      </w:r>
    </w:p>
    <w:p>
      <w:pPr>
        <w:pStyle w:val="Heading1"/>
        <w:spacing w:after="120" w:before="360"/>
      </w:pPr>
      <w:r>
        <w:rPr>
          <w:rFonts w:ascii="Inter" w:cs="Inter" w:eastAsia="Inter" w:hAnsi="Inter"/>
          <w:b/>
          <w:bCs/>
          <w:color w:val="0C1A3A"/>
          <w:sz w:val="32"/>
          <w:szCs w:val="32"/>
        </w:rPr>
        <w:t xml:space="preserve">Charter — quantified value hypothesis &amp; business-case skeleton</w:t>
      </w: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Move: </w:t>
      </w:r>
      <w:r>
        <w:rPr>
          <w:rFonts w:ascii="Inter" w:cs="Inter" w:eastAsia="Inter" w:hAnsi="Inter"/>
          <w:sz w:val="22"/>
          <w:szCs w:val="22"/>
        </w:rPr>
        <w:t xml:space="preserve">Fraud Detection Enhancement (first-capital)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Recommendation</w:t>
      </w:r>
    </w:p>
    <w:p>
      <w:pPr>
        <w:spacing w:after="40" w:before="80"/>
      </w:pPr>
      <w:r>
        <w:rPr>
          <w:rFonts w:ascii="Inter" w:cs="Inter" w:eastAsia="Inter" w:hAnsi="Inter"/>
          <w:b/>
          <w:bCs/>
          <w:sz w:val="26"/>
          <w:szCs w:val="26"/>
        </w:rPr>
        <w:t xml:space="preserve">Verdict: </w:t>
      </w:r>
      <w:r>
        <w:rPr>
          <w:rFonts w:ascii="Inter" w:cs="Inter" w:eastAsia="Inter" w:hAnsi="Inter"/>
          <w:b/>
          <w:bCs/>
          <w:color w:val="8B1F0F"/>
          <w:sz w:val="26"/>
          <w:szCs w:val="26"/>
        </w:rPr>
        <w:t xml:space="preserve">SHAPE — do not fund as-is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The critic raised 1 blocker(s) — fund only after they are resolved (see critic findings). Re-shape the Move to close them, do not fund as-is.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Investment (effort)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$1,587,595 – $2,614,863 (base $1,867,759)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return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-$1,312,023 – $3,334,245 (base $1,244,581)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Net value (post-haircut, 3yr)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$1,302,840 – $4,921,840 (base $3,112,340)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Payback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Not monetisable — the value rests on a baseline seed gap, so the kernel returns no payback rather than a fabricated one.</w:t>
            </w:r>
          </w:p>
        </w:tc>
      </w:tr>
      <w:tr>
        <w:tc>
          <w:tcPr>
            <w:tcW w:type="pct" w:w="36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Monetisable</w:t>
            </w:r>
          </w:p>
        </w:tc>
        <w:tc>
          <w:tcPr>
            <w:tcW w:type="pct" w:w="6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Current-state baseline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Coverage: 73% of metrics are recorded; 3 declared seed gap(s). Every recorded figure carries its source.</w:t>
      </w:r>
    </w:p>
    <w:p>
      <w:pPr>
        <w:spacing w:before="60"/>
      </w:pPr>
    </w:p>
    <w:p>
      <w:pPr>
        <w:spacing w:after="60"/>
      </w:pP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Metric</w:t>
            </w:r>
          </w:p>
        </w:tc>
        <w:tc>
          <w:tcPr>
            <w:tcW w:type="pct" w:w="18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Value</w:t>
            </w:r>
          </w:p>
        </w:tc>
        <w:tc>
          <w:tcPr>
            <w:tcW w:type="pct" w:w="30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Source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Quality / confidence</w:t>
            </w:r>
          </w:p>
        </w:tc>
        <w:tc>
          <w:tcPr>
            <w:tcW w:type="pct" w:w="14%"/>
            <w:shd w:fill="0C1A3A" w:color="auto" w:val="clear"/>
          </w:tcPr>
          <w:p>
            <w:pPr>
              <w:spacing w:after="60" w:before="60"/>
              <w:jc w:val="left"/>
            </w:pPr>
            <w:r>
              <w:rPr>
                <w:rFonts w:ascii="Inter" w:cs="Inter" w:eastAsia="Inter" w:hAnsi="Inter"/>
                <w:b/>
                <w:bCs/>
                <w:color w:val="FAF7F1"/>
                <w:sz w:val="20"/>
                <w:szCs w:val="20"/>
              </w:rPr>
              <w:t xml:space="preserve">As of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Card fraud annualized losses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2100000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fc-kpi-012 (Fraud Detection Enhancement program baseline)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Card fraud losses — peer median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1200000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fc-kpi-012 peer benchmark (Fraud Detection Enhancement baseline)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benchmark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Annual fraud losses (all channels)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7000000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fc-kpi-011 (Fraud loss benchmark 2025)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2025-12-31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AML false-positive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94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fc-kpi-013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AML automated disposition 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34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fc-kpi-014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SAR filings past deadline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8 percent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fc-kpi-015 (OCC MRA-2 findings)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investment (committed)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1800000 usd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Program inventory FC-FRAUD-2026 (active_programs.json)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2026-05-10</w:t>
            </w:r>
          </w:p>
        </w:tc>
      </w:tr>
      <w:tr>
        <w:tc>
          <w:tcPr>
            <w:tcW w:type="pct" w:w="2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Fraud detection current run-rate</w:t>
            </w:r>
          </w:p>
        </w:tc>
        <w:tc>
          <w:tcPr>
            <w:tcW w:type="pct" w:w="18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1800000 usd_per_year</w:t>
            </w:r>
          </w:p>
        </w:tc>
        <w:tc>
          <w:tcPr>
            <w:tcW w:type="pct" w:w="3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KPI fc-kpi-022 (Fraud Detection Enhancement Q1 2026)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measured / high</w:t>
            </w:r>
          </w:p>
        </w:tc>
        <w:tc>
          <w:tcPr>
            <w:tcW w:type="pct" w:w="14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2026-03-31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Fraud-analyst FTE cost basis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Fraud alert volume / cost-per-alert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  <w:tr>
        <w:tc>
          <w:tcPr>
            <w:tcW w:type="pct" w:w="2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False-positive operational cost</w:t>
            </w:r>
          </w:p>
        </w:tc>
        <w:tc>
          <w:tcPr>
            <w:tcW w:type="pct" w:w="18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Not recorded — seed gap</w:t>
            </w:r>
          </w:p>
        </w:tc>
        <w:tc>
          <w:tcPr>
            <w:tcW w:type="pct" w:w="30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seed gap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absent / low</w:t>
            </w:r>
          </w:p>
        </w:tc>
        <w:tc>
          <w:tcPr>
            <w:tcW w:type="pct" w:w="14%"/>
            <w:shd w:fill="FFF4D6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color w:val="7A5800"/>
                <w:sz w:val="20"/>
                <w:szCs w:val="20"/>
              </w:rPr>
              <w:t xml:space="preserve">2026-05-19</w:t>
            </w:r>
          </w:p>
        </w:tc>
      </w:tr>
    </w:tbl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Named assumptions</w:t>
      </w:r>
    </w:p>
    <w:p>
      <w:pPr>
        <w:spacing w:after="80" w:before="80" w:line="320"/>
      </w:pPr>
      <w:r>
        <w:rPr>
          <w:rFonts w:ascii="Inter" w:cs="Inter" w:eastAsia="Inter" w:hAnsi="Inter"/>
          <w:sz w:val="22"/>
          <w:szCs w:val="22"/>
        </w:rPr>
        <w:t xml:space="preserve">Every estimate rests on assumptions; the kernel makes them first-class. The three flagged TOP MOVERS move roughly 80% of the case.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alert_volume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Annual fraud alert volume is a modeled proxy (~120k alerts/yr for a bank of First Capital's scale) — used only to express review load.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David Chen (Risk Technology)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false_positive_cost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Each false-positive investigation costs a modeled ~$18 of analyst time — no per-alert handling cost is seeded.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James Park (CRO) · confidence: low · sensitivity impact: high · source: Modeled proxy — seed gap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fraud_analyst_fte_cost</w:t>
      </w:r>
      <w:r>
        <w:rPr>
          <w:rFonts w:ascii="Inter" w:cs="Inter" w:eastAsia="Inter" w:hAnsi="Inter"/>
          <w:color w:val="8B1F0F"/>
          <w:sz w:val="22"/>
          <w:szCs w:val="22"/>
        </w:rPr>
        <w:t xml:space="preserve">  [TOP MOVER · SEED-GAP PROXY]</w:t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Fully-loaded fraud-analyst FTE cost is a modeled proxy (~$135k/yr) until First Capital Finance attests a figure.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Michael Torres (CFO) · confidence: low · sensitivity impact: high · source: Modeled proxy — seed gap (Finance attestation pending)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fraud_loss_takeout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The detection-model enhancement closes card fraud losses from $2.1M toward the $1.2M peer median — a $0.9M/yr loss-avoidance ceiling.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James Park (CRO) · confidence: medium · sensitivity impact: high · source: KPI fc-kpi-012 committed target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realtime_payment_expansion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Expanding fraud detection from card to real-time payment fraud after FedNow go-live roughly doubles the addressable fraud-loss surface.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Patricia Huang (CIO) · confidence: medium · sensitivity impact: medium · source: Program inventory FC-FRAUD-2026 next-gate</w:t>
      </w:r>
    </w:p>
    <w:p>
      <w:pPr>
        <w:pStyle w:val="ListParagraph"/>
        <w:numPr>
          <w:ilvl w:val="0"/>
          <w:numId w:val="1"/>
        </w:numPr>
        <w:spacing w:after="20" w:before="4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rate_card</w:t>
      </w:r>
      <w:r>
        <w:rPr>
          <w:rFonts w:ascii="Inter" w:cs="Inter" w:eastAsia="Inter" w:hAnsi="Inter"/>
          <w:sz w:val="22"/>
          <w:szCs w:val="22"/>
        </w:rPr>
        <w:t xml:space="preserve"/>
      </w:r>
    </w:p>
    <w:p>
      <w:pPr>
        <w:spacing w:after="10" w:before="0"/>
        <w:ind w:left="360"/>
      </w:pPr>
      <w:r>
        <w:rPr>
          <w:rFonts w:ascii="Inter" w:cs="Inter" w:eastAsia="Inter" w:hAnsi="Inter"/>
          <w:sz w:val="22"/>
          <w:szCs w:val="22"/>
        </w:rPr>
        <w:t xml:space="preserve">Blended delivery rate card reflects market rates for the ML and risk-technology roles in the estimate.</w:t>
      </w:r>
    </w:p>
    <w:p>
      <w:pPr>
        <w:spacing w:after="40" w:before="0"/>
        <w:ind w:left="360"/>
      </w:pPr>
      <w:r>
        <w:rPr>
          <w:rFonts w:ascii="Inter" w:cs="Inter" w:eastAsia="Inter" w:hAnsi="Inter"/>
          <w:color w:val="706D66"/>
          <w:sz w:val="19"/>
          <w:szCs w:val="19"/>
        </w:rPr>
        <w:t xml:space="preserve">Owner: Patricia Huang (CIO) · confidence: medium · sensitivity impact: low · source: Benchmark rate card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Sensitivity — base, conservative, upside</w:t>
      </w:r>
    </w:p>
    <w:tbl>
      <w:tblPr>
        <w:tblW w:type="pct" w:w="100%"/>
        <w:tblBorders>
          <w:top w:val="single" w:color="D8D5CC" w:sz="4"/>
          <w:left w:val="single" w:color="D8D5CC" w:sz="4"/>
          <w:bottom w:val="single" w:color="D8D5CC" w:sz="4"/>
          <w:right w:val="single" w:color="D8D5CC" w:sz="4"/>
          <w:insideH w:val="single" w:color="ECE9E0" w:sz="2"/>
          <w:insideV w:val="single" w:color="ECE9E0" w:sz="2"/>
        </w:tblBorders>
      </w:tblPr>
      <w:tblGrid>
        <w:gridCol w:w="100"/>
        <w:gridCol w:w="100"/>
      </w:tblGrid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Base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$1,244,581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Conservative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-$1,312,023</w:t>
            </w:r>
          </w:p>
        </w:tc>
      </w:tr>
      <w:tr>
        <w:tc>
          <w:tcPr>
            <w:tcW w:type="pct" w:w="40%"/>
            <w:shd w:fill="E8E5DC" w:color="auto" w:val="clear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b/>
                <w:bCs/>
                <w:color w:val="0C1A3A"/>
                <w:sz w:val="20"/>
                <w:szCs w:val="20"/>
              </w:rPr>
              <w:t xml:space="preserve">Upside net return</w:t>
            </w:r>
          </w:p>
        </w:tc>
        <w:tc>
          <w:tcPr>
            <w:tcW w:type="pct" w:w="60%"/>
          </w:tcPr>
          <w:p>
            <w:pPr>
              <w:spacing w:after="40" w:before="40"/>
            </w:pPr>
            <w:r>
              <w:rPr>
                <w:rFonts w:ascii="Inter" w:cs="Inter" w:eastAsia="Inter" w:hAnsi="Inter"/>
                <w:sz w:val="20"/>
                <w:szCs w:val="20"/>
              </w:rPr>
              <w:t xml:space="preserve">$3,334,245</w:t>
            </w:r>
          </w:p>
        </w:tc>
      </w:tr>
    </w:tbl>
    <w:p>
      <w:pPr>
        <w:spacing w:after="80"/>
      </w:pPr>
    </w:p>
    <w:p>
      <w:pPr>
        <w:spacing w:after="80" w:before="80" w:line="32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What breaks the case: </w:t>
      </w:r>
      <w:r>
        <w:rPr>
          <w:rFonts w:ascii="Inter" w:cs="Inter" w:eastAsia="Inter" w:hAnsi="Inter"/>
          <w:sz w:val="22"/>
          <w:szCs w:val="22"/>
        </w:rPr>
        <w:t xml:space="preserve">The case breaks if the baseline seed gap is not closed — without the missing unit economics the value range is a proxy, not a forecast.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Stop / kill criteria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kill_downside_negative: </w:t>
      </w:r>
      <w:r>
        <w:rPr>
          <w:rFonts w:ascii="Inter" w:cs="Inter" w:eastAsia="Inter" w:hAnsi="Inter"/>
          <w:sz w:val="22"/>
          <w:szCs w:val="22"/>
        </w:rPr>
        <w:t xml:space="preserve">Net return is negative in the conservative case (-1312023.13). Kill or re-shape if the downside cannot be lifted above zero.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kill_monetisation_unresolved: </w:t>
      </w:r>
      <w:r>
        <w:rPr>
          <w:rFonts w:ascii="Inter" w:cs="Inter" w:eastAsia="Inter" w:hAnsi="Inter"/>
          <w:sz w:val="22"/>
          <w:szCs w:val="22"/>
        </w:rPr>
        <w:t xml:space="preserve">The baseline seed gap that blocks monetisation is not closed before the gate — without it the return is unverifiable.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kill_baseline_unclosed: </w:t>
      </w:r>
      <w:r>
        <w:rPr>
          <w:rFonts w:ascii="Inter" w:cs="Inter" w:eastAsia="Inter" w:hAnsi="Inter"/>
          <w:sz w:val="22"/>
          <w:szCs w:val="22"/>
        </w:rPr>
        <w:t xml:space="preserve">Baseline coverage stays below acceptable level — 3 seed gap(s) remain unresolved at the gate.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kill_fraud_loss_floor: </w:t>
      </w:r>
      <w:r>
        <w:rPr>
          <w:rFonts w:ascii="Inter" w:cs="Inter" w:eastAsia="Inter" w:hAnsi="Inter"/>
          <w:sz w:val="22"/>
          <w:szCs w:val="22"/>
        </w:rPr>
        <w:t xml:space="preserve">Card fraud losses stall above the $1.8M Q1 run-rate — the detection model has stopped converging on the $1.2M peer-median target.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kill_realtime_expansion_blocked: </w:t>
      </w:r>
      <w:r>
        <w:rPr>
          <w:rFonts w:ascii="Inter" w:cs="Inter" w:eastAsia="Inter" w:hAnsi="Inter"/>
          <w:sz w:val="22"/>
          <w:szCs w:val="22"/>
        </w:rPr>
        <w:t xml:space="preserve">FedNow go-live slips far enough that the real-time payment fraud expansion — the larger value pool — cannot be reached in horizon.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Critic findings — surfaced, not hidden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[blocker / cfo] cfo_monetisation_blocked: </w:t>
      </w:r>
      <w:r>
        <w:rPr>
          <w:rFonts w:ascii="Inter" w:cs="Inter" w:eastAsia="Inter" w:hAnsi="Inter"/>
          <w:sz w:val="22"/>
          <w:szCs w:val="22"/>
        </w:rPr>
        <w:t xml:space="preserve">Value cannot be monetised to a hard dollar figure — the gross value range rests on a seed-gap proxy. The CFO will not approve a fabricated return; the case must close the baseline gap first.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cfo] cfo_downside_underwater: </w:t>
      </w:r>
      <w:r>
        <w:rPr>
          <w:rFonts w:ascii="Inter" w:cs="Inter" w:eastAsia="Inter" w:hAnsi="Inter"/>
          <w:sz w:val="22"/>
          <w:szCs w:val="22"/>
        </w:rPr>
        <w:t xml:space="preserve">Downside net value (1302840) is below conservative effort (2614863.13) — in the pessimistic case the Move does not pay back. The CFO will ask what protects the floor.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data_baseline_seed_gaps: </w:t>
      </w:r>
      <w:r>
        <w:rPr>
          <w:rFonts w:ascii="Inter" w:cs="Inter" w:eastAsia="Inter" w:hAnsi="Inter"/>
          <w:sz w:val="22"/>
          <w:szCs w:val="22"/>
        </w:rPr>
        <w:t xml:space="preserve">3 baseline metric(s) are seed gaps (coverage 73%): Fraud-analyst FTE cost basis, Fraud alert volume / cost-per-alert, False-positive operational cost. The case is grounded only on what is recorded.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[concern / data] data_top_mover_is_proxy: </w:t>
      </w:r>
      <w:r>
        <w:rPr>
          <w:rFonts w:ascii="Inter" w:cs="Inter" w:eastAsia="Inter" w:hAnsi="Inter"/>
          <w:sz w:val="22"/>
          <w:szCs w:val="22"/>
        </w:rPr>
        <w:t xml:space="preserve">3 of the top-3 case-moving assumptions stand in for absent tenant data (alert_volume, false_positive_cost, fraud_analyst_fte_cost). Validating these is the highest-leverage next step.</w:t>
      </w:r>
    </w:p>
    <w:p>
      <w:pPr>
        <w:pStyle w:val="Heading2"/>
        <w:spacing w:after="100" w:before="280"/>
      </w:pPr>
      <w:r>
        <w:rPr>
          <w:rFonts w:ascii="Inter" w:cs="Inter" w:eastAsia="Inter" w:hAnsi="Inter"/>
          <w:b/>
          <w:bCs/>
          <w:color w:val="0C1A3A"/>
          <w:sz w:val="26"/>
          <w:szCs w:val="26"/>
        </w:rPr>
        <w:t xml:space="preserve">What Tower will measure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Card fraud annualized losses: </w:t>
      </w:r>
      <w:r>
        <w:rPr>
          <w:rFonts w:ascii="Inter" w:cs="Inter" w:eastAsia="Inter" w:hAnsi="Inter"/>
          <w:sz w:val="22"/>
          <w:szCs w:val="22"/>
        </w:rPr>
        <w:t xml:space="preserve">baseline 2100000 → target 1200000 usd_per_year. Measurable now from the fraud-loss ledger; the current run-rate is $1.8M (fc-kpi-022). The committed loss-avoidance target.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AML automated disposition rate: </w:t>
      </w:r>
      <w:r>
        <w:rPr>
          <w:rFonts w:ascii="Inter" w:cs="Inter" w:eastAsia="Inter" w:hAnsi="Inter"/>
          <w:sz w:val="22"/>
          <w:szCs w:val="22"/>
        </w:rPr>
        <w:t xml:space="preserve">baseline 34 → target 60 percent. Measurable from the case-management system. Carry the caveat that this metric is shared with the adjacent FC-AML-2026 program.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SAR filings past deadline: </w:t>
      </w:r>
      <w:r>
        <w:rPr>
          <w:rFonts w:ascii="Inter" w:cs="Inter" w:eastAsia="Inter" w:hAnsi="Inter"/>
          <w:sz w:val="22"/>
          <w:szCs w:val="22"/>
        </w:rPr>
        <w:t xml:space="preserve">baseline 8 → target 0 percent. Measurable from the BSA/AML filing log; no gap.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Inter" w:cs="Inter" w:eastAsia="Inter" w:hAnsi="Inter"/>
          <w:b/>
          <w:bCs/>
          <w:sz w:val="22"/>
          <w:szCs w:val="22"/>
        </w:rPr>
        <w:t xml:space="preserve">Fraud-analyst FTE cost basis: </w:t>
      </w:r>
      <w:r>
        <w:rPr>
          <w:rFonts w:ascii="Inter" w:cs="Inter" w:eastAsia="Inter" w:hAnsi="Inter"/>
          <w:sz w:val="22"/>
          <w:szCs w:val="22"/>
        </w:rPr>
        <w:t xml:space="preserve">baseline Not recorded — seed gap → target Not recorded — seed gap usd_per_fte_per_year. SEED GAP — manual-review-cost takeout cannot be verified in dollars until First Capital Finance attests a fully-loaded fraud-analyst FTE cost. Tower cannot confirm that value component before then.</w:t>
      </w:r>
    </w:p>
    <w:p>
      <w:pPr>
        <w:spacing w:before="200"/>
      </w:pPr>
    </w:p>
    <w:p>
      <w:pPr>
        <w:pBdr>
          <w:top w:val="single" w:color="D8D5CC" w:sz="4" w:space="8"/>
        </w:pBdr>
        <w:spacing w:after="40" w:before="120"/>
      </w:pPr>
      <w:r>
        <w:rPr>
          <w:rFonts w:ascii="Inter" w:cs="Inter" w:eastAsia="Inter" w:hAnsi="Inter"/>
          <w:i/>
          <w:iCs/>
          <w:color w:val="706D66"/>
          <w:sz w:val="18"/>
          <w:szCs w:val="18"/>
        </w:rPr>
        <w:t xml:space="preserve">Every figure in this document is produced by the Moves Expert Kernel from the tenant’s audited substrate. Absent data is declared a seed gap, never invented. Effort rests on a researched planning rate card — a market range, not a quote. Generated by AbarVa · Moves.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Charter business-case skeleton · Fraud Detection Enhancement</dc:title>
  <dc:creator>AbarVa · Moves</dc:creator>
  <dc:description>The quantified value hypothesis, the CFO-readable business-case skeleton and the stop/kill criteria.</dc:description>
  <cp:lastModifiedBy>Un-named</cp:lastModifiedBy>
  <cp:revision>1</cp:revision>
  <dcterms:created xsi:type="dcterms:W3CDTF">2026-05-20T01:44:02.757Z</dcterms:created>
  <dcterms:modified xsi:type="dcterms:W3CDTF">2026-05-20T01:44:02.757Z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