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Charter business-case skeleton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Ambient Clinical Value Chain Activation — Meridian Health System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meridian-health · Move ref meridian:move:ambient-clinical-value-chain-activation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The quantified value hypothesis, the CFO-readable business-case skeleton and the stop/kill criteria.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Charter — quantified value hypothesis &amp; business-case skeleton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Ambient Clinical Value Chain Activation (meridian-health)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Recommendation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Verdict: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SHAPE — do not fund as-is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critic raised 1 blocker(s) — fund only after they are resolved (see critic findings). Re-shape the Move to close them, do not fund as-is.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Investment (effort)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$2,481,455 – $4,087,102 (base $2,919,358)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return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$3,460,898 – $10,727,545 (base $7,459,142)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value (post-haircut, 3yr)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$7,548,000 – $13,209,000 (base $10,378,500)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Payback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monetisable — the value rests on a baseline seed gap, so the kernel returns no payback rather than a fabricated one.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Monetisable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Current-state baseline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Coverage: 75% of metrics are recorded; 3 declared seed gap(s). Every recorded figure carries its source.</w:t>
      </w:r>
    </w:p>
    <w:p>
      <w:pPr>
        <w:spacing w:before="60"/>
      </w:pPr>
    </w:p>
    <w:p>
      <w:pPr>
        <w:spacing w:after="60"/>
      </w:pP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Metric</w:t>
            </w:r>
          </w:p>
        </w:tc>
        <w:tc>
          <w:tcPr>
            <w:tcW w:type="pct" w:w="1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Source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Quality / confidence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As of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Primary-care pajama time (after-hours Epic)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129 minutes_per_day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E17 (D06 Documentation-Time Baseline · specialty decomposition)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MBI-HSS emotional-exhaustion burnout (elevated band)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E2 (D06 · MBI-HSS burnout survey wave, n=1,240)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2026-01-12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HCC capture rate on the MA panel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58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E28 (D10 Benchmark Comparison · cohort scorecard)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2026-02-26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Note turnaround (sign-to-close)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11.4 hours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E8 (D03 Success Metric Tree · supporting metric)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CDI query resolution cycle time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38 hours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E8 (D03 Success Metric Tree · CDI cycle-time metric)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CDI HCC-relevant query volume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40 queries_per_week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E25 (D08/D10 · CDI-queue routing volume benchmark)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Quality-measure documentation capture (HEDIS + Stars)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E47 (D15 Intervention Portfolio · lever outcome envelope)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2026-03-18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Clinician retention (annual)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88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E9 (D16 Business Case · cognitive-load recovery component)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stated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Ambulatory visits per clinician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84 visits_per_clinician_per_week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E19 (D04 Intake · chief ambulatory officer field shadow)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stated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Cost-per-clinician-hour conversion coefficient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RAF-to-revenue conversion coefficient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Locum-avoidance dollar basis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Named assumptions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Every estimate rests on assumptions; the kernel makes them first-class. The three flagged TOP MOVERS move roughly 80% of the case.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cost_per_clinician_hour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Fully-loaded cost per clinician hour is a modeled proxy (~$190/hr for attending physicians) until Meridian Finance attests a figure.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Raman (VP Revenue Cycle) · confidence: low · sensitivity impact: high · source: Modeled proxy — seed gap (Finance attestation pending)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locum_avoidance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Cognitive-load recovery avoids a modeled ~$1.2M/yr of locum spend via reduced burnout-driven attrition — no locum-spend baseline is seeded.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Dr. Larsson (CMO) · confidence: low · sensitivity impact: high · source: Modeled proxy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raf_to_revenue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Each RAF point recaptured on the MA panel is worth a modeled ~$430/yr per member; the HCC recapture range $3.2–5.1M/yr rests on this.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Raman (VP Revenue Cycle) · confidence: low · sensitivity impact: high · source: Revenue-Cycle estimate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cdi_queue_uplift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Ambient-to-CDI integration lifts HCC-relevant query volume from ~40/wk toward the 140–180/wk pattern envelope (E25/E47).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Dr. Morales (CMIO) · confidence: medium · sensitivity impact: high · source: Evidence base E47 — D15 lever outcome envelope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portfolio_compounding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Parallel-track execution of the three levers produces +25–35% faster outcome realisation than sequential; the low scenario assumes zero.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Sarah Chen (CIO) · confidence: medium · sensitivity impact: medium · source: Evidence base E32 — pattern-library lever-interaction model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vendor_council_commissioning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All three ambient vendor councils commission their HCC/DRG feedback loops on the G3 timeline (Abridge priority, DAX trailing 30 days).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Dr. Morales (CMIO) · confidence: medium · sensitivity impact: medium · source: Evidence base E59 — D18 Risk Register R11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rate_card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Blended delivery rate card reflects market rates for the integration-engineering and clinical-informatics roles in the estimate.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Sarah Chen (CIO) · confidence: medium · sensitivity impact: low · source: Benchmark rate card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Sensitivity — base, conservative, upside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40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Base net return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$7,459,142</w:t>
            </w:r>
          </w:p>
        </w:tc>
      </w:tr>
      <w:tr>
        <w:tc>
          <w:tcPr>
            <w:tcW w:type="pct" w:w="40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Conservative net return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$3,460,898</w:t>
            </w:r>
          </w:p>
        </w:tc>
      </w:tr>
      <w:tr>
        <w:tc>
          <w:tcPr>
            <w:tcW w:type="pct" w:w="40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Upside net return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$10,727,545</w:t>
            </w:r>
          </w:p>
        </w:tc>
      </w:tr>
    </w:tbl>
    <w:p>
      <w:pPr>
        <w:spacing w:after="80"/>
      </w:pP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What breaks the case: </w:t>
      </w:r>
      <w:r>
        <w:rPr>
          <w:rFonts w:ascii="Inter" w:cs="Inter" w:eastAsia="Inter" w:hAnsi="Inter"/>
          <w:sz w:val="22"/>
          <w:szCs w:val="22"/>
        </w:rPr>
        <w:t xml:space="preserve">The case breaks if the baseline seed gap is not closed — without the missing unit economics the value range is a proxy, not a forecast.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Stop / kill criteria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kill_downside_negative: </w:t>
      </w:r>
      <w:r>
        <w:rPr>
          <w:rFonts w:ascii="Inter" w:cs="Inter" w:eastAsia="Inter" w:hAnsi="Inter"/>
          <w:sz w:val="22"/>
          <w:szCs w:val="22"/>
        </w:rPr>
        <w:t xml:space="preserve">Net return is negative in the conservative case (3460898.34). Kill or re-shape if the downside cannot be lifted above zero.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kill_monetisation_unresolved: </w:t>
      </w:r>
      <w:r>
        <w:rPr>
          <w:rFonts w:ascii="Inter" w:cs="Inter" w:eastAsia="Inter" w:hAnsi="Inter"/>
          <w:sz w:val="22"/>
          <w:szCs w:val="22"/>
        </w:rPr>
        <w:t xml:space="preserve">The baseline seed gap that blocks monetisation is not closed before the gate — without it the return is unverifiable.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kill_baseline_unclosed: </w:t>
      </w:r>
      <w:r>
        <w:rPr>
          <w:rFonts w:ascii="Inter" w:cs="Inter" w:eastAsia="Inter" w:hAnsi="Inter"/>
          <w:sz w:val="22"/>
          <w:szCs w:val="22"/>
        </w:rPr>
        <w:t xml:space="preserve">Baseline coverage stays below acceptable level — 3 seed gap(s) remain unresolved at the gate.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kill_cdi_queue_undershoot: </w:t>
      </w:r>
      <w:r>
        <w:rPr>
          <w:rFonts w:ascii="Inter" w:cs="Inter" w:eastAsia="Inter" w:hAnsi="Inter"/>
          <w:sz w:val="22"/>
          <w:szCs w:val="22"/>
        </w:rPr>
        <w:t xml:space="preserve">CDI-queue routing stays below 55/week at the G2 gate — the ambient-to-CDI integration, the program's core mechanism, has failed (E45).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kill_vendor_council_blocked: </w:t>
      </w:r>
      <w:r>
        <w:rPr>
          <w:rFonts w:ascii="Inter" w:cs="Inter" w:eastAsia="Inter" w:hAnsi="Inter"/>
          <w:sz w:val="22"/>
          <w:szCs w:val="22"/>
        </w:rPr>
        <w:t xml:space="preserve">HCC feedback-loop commissioning is blocked on more than one vendor council — the documentation-quality value component cannot land (E45).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Critic findings — surfaced, not hidden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[blocker / cfo] cfo_monetisation_blocked: </w:t>
      </w:r>
      <w:r>
        <w:rPr>
          <w:rFonts w:ascii="Inter" w:cs="Inter" w:eastAsia="Inter" w:hAnsi="Inter"/>
          <w:sz w:val="22"/>
          <w:szCs w:val="22"/>
        </w:rPr>
        <w:t xml:space="preserve">Value cannot be monetised to a hard dollar figure — the gross value range rests on a seed-gap proxy. The CFO will not approve a fabricated return; the case must close the baseline gap first.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data_baseline_seed_gaps: </w:t>
      </w:r>
      <w:r>
        <w:rPr>
          <w:rFonts w:ascii="Inter" w:cs="Inter" w:eastAsia="Inter" w:hAnsi="Inter"/>
          <w:sz w:val="22"/>
          <w:szCs w:val="22"/>
        </w:rPr>
        <w:t xml:space="preserve">3 baseline metric(s) are seed gaps (coverage 75%): Cost-per-clinician-hour conversion coefficient, RAF-to-revenue conversion coefficient, Locum-avoidance dollar basis. The case is grounded only on what is recorded.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data_top_mover_is_proxy: </w:t>
      </w:r>
      <w:r>
        <w:rPr>
          <w:rFonts w:ascii="Inter" w:cs="Inter" w:eastAsia="Inter" w:hAnsi="Inter"/>
          <w:sz w:val="22"/>
          <w:szCs w:val="22"/>
        </w:rPr>
        <w:t xml:space="preserve">3 of the top-3 case-moving assumptions stand in for absent tenant data (cost_per_clinician_hour, locum_avoidance, raf_to_revenue). Validating these is the highest-leverage next step.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What Tower will measure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Primary-care pajama time: </w:t>
      </w:r>
      <w:r>
        <w:rPr>
          <w:rFonts w:ascii="Inter" w:cs="Inter" w:eastAsia="Inter" w:hAnsi="Inter"/>
          <w:sz w:val="22"/>
          <w:szCs w:val="22"/>
        </w:rPr>
        <w:t xml:space="preserve">baseline 129 → target 100 minutes_per_day. Measurable now from the Epic Signal 18-month trace; no gap. Target is a 25–35 min/day reduction (E47).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CDI HCC-relevant query volume: </w:t>
      </w:r>
      <w:r>
        <w:rPr>
          <w:rFonts w:ascii="Inter" w:cs="Inter" w:eastAsia="Inter" w:hAnsi="Inter"/>
          <w:sz w:val="22"/>
          <w:szCs w:val="22"/>
        </w:rPr>
        <w:t xml:space="preserve">baseline 40 → target 160 queries_per_week. Measurable from the CDI queue; the leading indicator of integration health. Target 140–180/wk (E47).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HCC capture on the MA panel: </w:t>
      </w:r>
      <w:r>
        <w:rPr>
          <w:rFonts w:ascii="Inter" w:cs="Inter" w:eastAsia="Inter" w:hAnsi="Inter"/>
          <w:sz w:val="22"/>
          <w:szCs w:val="22"/>
        </w:rPr>
        <w:t xml:space="preserve">baseline 58 → target 63 percent. Measurable, but carry the cohort-position caveat. Financial value is NOT verifiable until the RAF-to-revenue coefficient is attested.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Cost-per-clinician-hour conversion coefficient: </w:t>
      </w:r>
      <w:r>
        <w:rPr>
          <w:rFonts w:ascii="Inter" w:cs="Inter" w:eastAsia="Inter" w:hAnsi="Inter"/>
          <w:sz w:val="22"/>
          <w:szCs w:val="22"/>
        </w:rPr>
        <w:t xml:space="preserve">baseline Not recorded — seed gap → target Not recorded — seed gap usd_per_hour. SEED GAP — the cognitive-load recovery value cannot be verified in dollars until Meridian Finance attests a fully-loaded clinician-hour cost. Tower cannot confirm financial value before then.</w:t>
      </w:r>
    </w:p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Charter business-case skeleton · Ambient Clinical Value Chain Activation</dc:title>
  <dc:creator>AbarVa · Moves</dc:creator>
  <dc:description>The quantified value hypothesis, the CFO-readable business-case skeleton and the stop/kill criteria.</dc:description>
  <cp:lastModifiedBy>Un-named</cp:lastModifiedBy>
  <cp:revision>1</cp:revision>
  <dcterms:created xsi:type="dcterms:W3CDTF">2026-05-20T01:44:02.505Z</dcterms:created>
  <dcterms:modified xsi:type="dcterms:W3CDTF">2026-05-20T01:44:02.505Z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