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Mobilize &amp; go-decision packet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Ambient Clinical Value Chain Activation — Meridian Health System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meridian-health · Move ref meridian:move:ambient-clinical-value-chain-activation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mobilization plan, adoption &amp; change approach, the value-measurement model handed to Tower and the go-decision pack.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Mobilize &amp; Handoff — adoption, measurement, go-decision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Ambient Clinical Value Chain Activation (meridian-health)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Go-decision: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NO GO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No-go: 2 Mobilize kill trigger(s) fired (measurement_unwired, business_case_blocker_open). The Move is not ready to leave Moves. See the fix-conditions for what must change before it is reconsidered.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Mobilize readiness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Owned (named operating-model owner)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Adoptable (change approach supports the curve)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Measurable (value loop closes to Tower)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Operating-model owner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(CMIO, Clinical Informatics)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Overall change load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Adoption confidence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Hypercare window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 week(s)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Fired kill triggers — verbatim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measurement_unwired: </w:t>
      </w:r>
      <w:r>
        <w:rPr>
          <w:rFonts w:ascii="Inter" w:cs="Inter" w:eastAsia="Inter" w:hAnsi="Inter"/>
          <w:sz w:val="22"/>
          <w:szCs w:val="22"/>
        </w:rPr>
        <w:t xml:space="preserve">1 committed value metric(s) cannot be wired to a recorded baseline: Cost-per-clinician-hour conversion coefficient.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Fix-condition: Revisit when every committed metric is wired to a Discover baseline value or an owned, dated plan to capture 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business_case_blocker_open: </w:t>
      </w:r>
      <w:r>
        <w:rPr>
          <w:rFonts w:ascii="Inter" w:cs="Inter" w:eastAsia="Inter" w:hAnsi="Inter"/>
          <w:sz w:val="22"/>
          <w:szCs w:val="22"/>
        </w:rPr>
        <w:t xml:space="preserve">The business-case critic has 1 open blocker(s): cfo_monetisation_blocked.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Fix-condition: Revisit when the business-case critic reports no open blocker.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Conditions to clear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measurement_unwired: </w:t>
      </w:r>
      <w:r>
        <w:rPr>
          <w:rFonts w:ascii="Inter" w:cs="Inter" w:eastAsia="Inter" w:hAnsi="Inter"/>
          <w:sz w:val="22"/>
          <w:szCs w:val="22"/>
        </w:rPr>
        <w:t xml:space="preserve">Revisit when every committed metric is wired to a Discover baseline value or an owned, dated plan to capture 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business_case_blocker_open: </w:t>
      </w:r>
      <w:r>
        <w:rPr>
          <w:rFonts w:ascii="Inter" w:cs="Inter" w:eastAsia="Inter" w:hAnsi="Inter"/>
          <w:sz w:val="22"/>
          <w:szCs w:val="22"/>
        </w:rPr>
        <w:t xml:space="preserve">Revisit when the business-case critic reports no open blocker.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Adoption &amp; change approach — seven dimensions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Magnitude</w:t>
            </w:r>
          </w:p>
        </w:tc>
        <w:tc>
          <w:tcPr>
            <w:tcW w:type="pct" w:w="4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impacted_roles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Three roles change; the clinician role changes most. Stage the rollout by specialty, leading with primary care where pajama time is highest.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CMIO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process_variance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Specialty template governance varies documentation materially; the process-redesign workstream must land before the change rollout (it is budgeted in the Design &amp; Plan estimate).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training_load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Role-based training: ambient-tooling curriculum for clinicians, a queue-triage curriculum for CDI specialists.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Enablement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incentive_change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Re-point clinician scorecards away from raw note volume toward documentation quality and recovered capacity.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CMO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manager_adoption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Manager reinforcement is the highest-risk layer. A dedicated clinic-manager enablement track with explicit reinforcement in the hypercare window.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CMIO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communications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Address the clinician narrative directly — ambient documentation recovers cognitive load and after-hours time; it is not a surveillance layer.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hypercare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 8-week hypercare window with elevated informatics support and a weekly documentation-quality review; exit when pajama time and CDI volume hold for two consecutive weeks.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CMIO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Impacted roles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Role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Headcount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Change</w:t>
            </w:r>
          </w:p>
        </w:tc>
        <w:tc>
          <w:tcPr>
            <w:tcW w:type="pct" w:w="4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Primary-care clinician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Clinicians move from manual after-hours documentation to ambient-captured notes reviewed and signed in-visit.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specialist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42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specialists work an ambient-routed HCC query queue rather than a starved, manually-built one.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Clinic operations manager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moderate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Managers coach to the new documentation pattern and the recovered-capacity visit targets.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Adoption risks — surfaced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[concern] adoption_manager_layer_heavy: </w:t>
      </w:r>
      <w:r>
        <w:rPr>
          <w:rFonts w:ascii="Inter" w:cs="Inter" w:eastAsia="Inter" w:hAnsi="Inter"/>
          <w:sz w:val="22"/>
          <w:szCs w:val="22"/>
        </w:rPr>
        <w:t xml:space="preserve">Manager adoption is a high-magnitude change. Adoption fails at the manager layer more than anywhere else — manager reinforcement must be explicitly resourced, not assumed.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adoption_headcount_gap_primary_care_clinician: </w:t>
      </w:r>
      <w:r>
        <w:rPr>
          <w:rFonts w:ascii="Inter" w:cs="Inter" w:eastAsia="Inter" w:hAnsi="Inter"/>
          <w:sz w:val="22"/>
          <w:szCs w:val="22"/>
        </w:rPr>
        <w:t xml:space="preserve">Impacted headcount for 'Primary-care clinician'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adoption_headcount_gap_clinic_operations_manager: </w:t>
      </w:r>
      <w:r>
        <w:rPr>
          <w:rFonts w:ascii="Inter" w:cs="Inter" w:eastAsia="Inter" w:hAnsi="Inter"/>
          <w:sz w:val="22"/>
          <w:szCs w:val="22"/>
        </w:rPr>
        <w:t xml:space="preserve">Impacted headcount for 'Clinic operations manager'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adoption_seed_gap_impacted_roles: </w:t>
      </w:r>
      <w:r>
        <w:rPr>
          <w:rFonts w:ascii="Inter" w:cs="Inter" w:eastAsia="Inter" w:hAnsi="Inter"/>
          <w:sz w:val="22"/>
          <w:szCs w:val="22"/>
        </w:rPr>
        <w:t xml:space="preserve">The 'Impacted roles' assessment rests on a benchmark proxy / seed gap, not tenant data — validate it before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adoption_seed_gap_training_load: </w:t>
      </w:r>
      <w:r>
        <w:rPr>
          <w:rFonts w:ascii="Inter" w:cs="Inter" w:eastAsia="Inter" w:hAnsi="Inter"/>
          <w:sz w:val="22"/>
          <w:szCs w:val="22"/>
        </w:rPr>
        <w:t xml:space="preserve">The 'Training load' assessment rests on a benchmark proxy / seed gap, not tenant data — validate it before the gate.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Value-measurement model — handed to Tower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3 of 4 metric(s) wired to a recorded baseline (coverage 75%). Value loop closes: NO.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Baseline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Cadence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Primary-care pajama time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129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100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monthly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CMIO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HCC-relevant query volume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160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weekly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Director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HCC capture on the MA panel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58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63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quarterly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VP Revenue Cycle</w:t>
            </w:r>
          </w:p>
        </w:tc>
      </w:tr>
      <w:tr>
        <w:tc>
          <w:tcPr>
            <w:tcW w:type="pct" w:w="2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Cost-per-clinician-hour conversion coefficient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quarterly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VP Revenue Cycle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Critic findings — surfaced, not hidden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[blocker / cfo] cfo_monetisation_blocked: </w:t>
      </w:r>
      <w:r>
        <w:rPr>
          <w:rFonts w:ascii="Inter" w:cs="Inter" w:eastAsia="Inter" w:hAnsi="Inter"/>
          <w:sz w:val="22"/>
          <w:szCs w:val="22"/>
        </w:rPr>
        <w:t xml:space="preserve">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data_baseline_seed_gaps: </w:t>
      </w:r>
      <w:r>
        <w:rPr>
          <w:rFonts w:ascii="Inter" w:cs="Inter" w:eastAsia="Inter" w:hAnsi="Inter"/>
          <w:sz w:val="22"/>
          <w:szCs w:val="22"/>
        </w:rPr>
        <w:t xml:space="preserve">3 baseline metric(s) are seed gaps (coverage 75%): Cost-per-clinician-hour conversion coefficient, RAF-to-revenue conversion coefficient, Locum-avoidance dollar basis.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data_top_mover_is_proxy: </w:t>
      </w:r>
      <w:r>
        <w:rPr>
          <w:rFonts w:ascii="Inter" w:cs="Inter" w:eastAsia="Inter" w:hAnsi="Inter"/>
          <w:sz w:val="22"/>
          <w:szCs w:val="22"/>
        </w:rPr>
        <w:t xml:space="preserve">3 of the top-3 case-moving assumptions stand in for absent tenant data (cost_per_clinician_hour, locum_avoidance, raf_to_revenue). Validating these is the highest-leverage next step.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Mobilize &amp; go-decision packet · Ambient Clinical Value Chain Activation</dc:title>
  <dc:creator>AbarVa · Moves</dc:creator>
  <dc:description>The mobilization plan, adoption &amp; change approach, the value-measurement model handed to Tower and the go-decision pack.</dc:description>
  <cp:lastModifiedBy>Un-named</cp:lastModifiedBy>
  <cp:revision>1</cp:revision>
  <dcterms:created xsi:type="dcterms:W3CDTF">2026-05-20T01:44:02.670Z</dcterms:created>
  <dcterms:modified xsi:type="dcterms:W3CDTF">2026-05-20T01:44:02.670Z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