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SkyHarbor Board Technology Update 2026 Q1</w:t>
      </w:r>
    </w:p>
    <w:p>
      <w:r>
        <w:t>The CTO-sponsored modernization program has delivered MIPS reduction and customer-domain progress, while CIO Amala Rao is challenging pace, value proof, and dependency concentration.</w:t>
      </w:r>
    </w:p>
    <w:p>
      <w:r>
        <w:t>The next wave should sequence extraction candidates by value-to-risk ratio, not architecture preference.</w:t>
      </w:r>
    </w:p>
    <w:p>
      <w:r>
        <w:t>This synthetic document is structurally valid DOCX and demonstrates the source-upload slot used in a real pilot.</w:t>
      </w:r>
    </w:p>
  </w:body>
</w:document>
</file>