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Usage Policy</w:t>
      </w:r>
    </w:p>
    <w:p>
      <w:r>
        <w:rPr>
          <w:b/>
          <w:bCs/>
        </w:rPr>
        <w:t xml:space="preserve">SYNTHETIC / ILLUSTRATIVE. Generated for Lakeshore Holdings pilot rehearsal.</w:t>
      </w:r>
    </w:p>
    <w:p>
      <w:pPr>
        <w:pStyle w:val="Heading1"/>
      </w:pPr>
      <w:r>
        <w:t xml:space="preserve">Allowed uses</w:t>
      </w:r>
    </w:p>
    <w:p>
      <w:r>
        <w:t xml:space="preserve">Approved copilots may summarize internal evidence and draft non-binding analysis.</w:t>
      </w:r>
    </w:p>
    <w:p>
      <w:pPr>
        <w:pStyle w:val="Heading1"/>
      </w:pPr>
      <w:r>
        <w:t xml:space="preserve">Blocked uses</w:t>
      </w:r>
    </w:p>
    <w:p>
      <w:r>
        <w:t xml:space="preserve">No client, employee, or supplier data may be used to train external models without written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2026-06-04T02:44:49.595Z</dcterms:created>
  <dcterms:modified xsi:type="dcterms:W3CDTF">2026-06-04T02:44:49.595Z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