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Security Classification Standard</w:t>
      </w:r>
    </w:p>
    <w:p>
      <w:r>
        <w:rPr>
          <w:b/>
          <w:bCs/>
        </w:rPr>
        <w:t xml:space="preserve">SYNTHETIC / ILLUSTRATIVE. Generated for Lakeshore Holdings pilot rehearsal.</w:t>
      </w:r>
    </w:p>
    <w:p>
      <w:pPr>
        <w:pStyle w:val="Heading1"/>
      </w:pPr>
      <w:r>
        <w:t xml:space="preserve">Classes</w:t>
      </w:r>
    </w:p>
    <w:p>
      <w:r>
        <w:t xml:space="preserve">Public, internal, confidential, restricted, and regulated.</w:t>
      </w:r>
    </w:p>
    <w:p>
      <w:pPr>
        <w:pStyle w:val="Heading1"/>
      </w:pPr>
      <w:r>
        <w:t xml:space="preserve">Handling</w:t>
      </w:r>
    </w:p>
    <w:p>
      <w:r>
        <w:t xml:space="preserve">Restricted data requires approved storage, access logging, and explicit load attestation.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2026-06-04T02:44:49.609Z</dcterms:created>
  <dcterms:modified xsi:type="dcterms:W3CDTF">2026-06-04T02:44:49.609Z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