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SLA Schedule and Service Credit Exhibit</w:t>
      </w:r>
    </w:p>
    <w:p>
      <w:r>
        <w:t>Contract: MER-TECH-LAAMS-001 | Vendor: Cognizant Technology Solutions | Event: SRC-MER-LAAMS-REBID-2027</w:t>
      </w:r>
    </w:p>
    <w:p>
      <w:r>
        <w:t>Synthetic demo evidence only. Not client truth. Use for parser, lineage, workflow, and UI proof only.</w:t>
      </w:r>
    </w:p>
    <w:p>
      <w:r>
        <w:t>This exhibit defines measurable service levels and how credits are calculated.</w:t>
      </w:r>
    </w:p>
    <w:p>
      <w:pPr>
        <w:pStyle w:val="Heading1"/>
      </w:pPr>
      <w:r>
        <w:t>SLA framework</w:t>
      </w:r>
    </w:p>
    <w:p>
      <w:r>
        <w:t>The SLA schedule tracks critical response, P1 and P2 resolution, batch completion, report refresh timeliness, change success, and problem backlog aging.</w:t>
      </w:r>
    </w:p>
    <w:p>
      <w:r>
        <w:t>A missed service period creates a calculated credit. It is not recoverable value until claim ownership and finance treatment are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Threshold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 basis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 incident response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&lt;= 30 minutes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monthly fee base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P1/P2 resolution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&lt;= 8 hours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1.25% monthly fee base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 completion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&gt;= 98% by 7am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1.0% monthly fee base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 refresh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&gt;= 97% on time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1.0% monthly fee base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 success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&gt;= 95%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0.75% monthly fee base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 backlog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&lt;= 12 older than 30 days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0.5% monthly fee base</w:t>
            </w:r>
          </w:p>
        </w:tc>
      </w:tr>
    </w:tbl>
    <w:p/>
    <w:p>
      <w:pPr>
        <w:pStyle w:val="Heading1"/>
      </w:pPr>
      <w:r>
        <w:t>Credit claim process</w:t>
      </w:r>
    </w:p>
    <w:p>
      <w:r>
        <w:t>The supplier must calculate the credit in the monthly service review. Meridian must either claim, waive, or dispute the amount in the service review record.</w:t>
      </w:r>
    </w:p>
    <w:p>
      <w:r>
        <w:t>Unclaimed calculated credits become an Optimize candidate, not realized savings.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UI claim allowed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Calculated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Formula generated an amount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Candidate leakage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Claimed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Client recorded claim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Claim in progress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Recovered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Finance confirms recovery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Realized value</w:t>
            </w:r>
          </w:p>
        </w:tc>
      </w:tr>
    </w:tbl>
    <w:p/>
    <w:p>
      <w:pPr>
        <w:pStyle w:val="Heading1"/>
      </w:pPr>
      <w:r>
        <w:t>SLA period extraction appendix</w:t>
      </w:r>
    </w:p>
    <w:p>
      <w:r>
        <w:t>Parser simulation appendix sourced from sla_period_results.csv.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metric_name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threshold_value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actual_value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breach_state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credit_calculated_usd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credit_claimed_flag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breached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8177.08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breached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6541.67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2026-11-01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critical_incident_response_minutes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p1_p2_resolution_hours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batch_completion_by_7am_pct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report_refresh_timeliness_pct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change_success_rate_pct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97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2026-12-01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problem_backlog_older_30_days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met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6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false</w:t>
            </w:r>
          </w:p>
        </w:tc>
      </w:tr>
    </w:tbl>
    <w:p/>
    <w:p>
      <w:pPr>
        <w:pStyle w:val="Heading1"/>
      </w:pPr>
      <w:r>
        <w:t>Ticket volume appendix</w:t>
      </w:r>
    </w:p>
    <w:p>
      <w:r>
        <w:t>Parser simulation appendix sourced from ticket_volumetrics_12mo.csv. These rows give the evidence extractor enough structure to test row lineage, field extraction, and claim 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period_month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ticket_type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ticket_count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breached_sla_count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avg_age_days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incident_p1_p2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incident_p3_p4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service_request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2.1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minor_enhancement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21.2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2026-07-01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5.1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incident_p1_p2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incident_p3_p4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service_request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minor_enhancement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21.6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2026-08-01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5.5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incident_p1_p2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incident_p3_p4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4.6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service_request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2.9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minor_enhancement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10.2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2026-09-01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5.9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incident_p1_p2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1.2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incident_p3_p4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154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3.8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service_request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2.1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minor_enhancement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9.4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problem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21.2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2026-10-01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change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5.1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