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Platforms</w:t>
      </w:r>
    </w:p>
    <w:p>
      <w:r>
        <w:rPr>
          <w:color w:val="6B7280"/>
          <w:sz w:val="16"/>
        </w:rPr>
        <w:t>Lakeshore Holdings · Owner: Aisha Bello · Source: Snowflake · As of: 2026-06-06 · Sensitivity: Internal</w:t>
      </w:r>
    </w:p>
    <w:p>
      <w:pPr>
        <w:pStyle w:val="Heading1"/>
      </w:pPr>
      <w:r>
        <w:t>Architecture</w:t>
      </w:r>
    </w:p>
    <w:p>
      <w:r>
        <w:t>Lakeshore's analytics platform is a Snowflake medallion (bronze/silver/gold) fed from ADLS gen2 landing, transformed with dbt, governed with RBAC + dynamic masking, and consumed by Power BI, Azure AI Search (tenant-context-v1), and the Postgres context layer. See `data_platform_architecture.svg`.</w:t>
      </w:r>
    </w:p>
    <w:p>
      <w:pPr>
        <w:pStyle w:val="Heading1"/>
      </w:pPr>
      <w:r>
        <w:t>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Landing/Bronze</w:t>
            </w:r>
          </w:p>
        </w:tc>
        <w:tc>
          <w:tcPr>
            <w:tcW w:type="dxa" w:w="2880"/>
          </w:tcPr>
          <w:p>
            <w:r>
              <w:t>ADLS gen2 + Snowpipe</w:t>
            </w:r>
          </w:p>
        </w:tc>
        <w:tc>
          <w:tcPr>
            <w:tcW w:type="dxa" w:w="2880"/>
          </w:tcPr>
          <w:p>
            <w:r>
              <w:t>immutable raw ingest</w:t>
            </w:r>
          </w:p>
        </w:tc>
      </w:tr>
      <w:tr>
        <w:tc>
          <w:tcPr>
            <w:tcW w:type="dxa" w:w="2880"/>
          </w:tcPr>
          <w:p>
            <w:r>
              <w:t>Curated/Silver</w:t>
            </w:r>
          </w:p>
        </w:tc>
        <w:tc>
          <w:tcPr>
            <w:tcW w:type="dxa" w:w="2880"/>
          </w:tcPr>
          <w:p>
            <w:r>
              <w:t>Snowflake + dbt</w:t>
            </w:r>
          </w:p>
        </w:tc>
        <w:tc>
          <w:tcPr>
            <w:tcW w:type="dxa" w:w="2880"/>
          </w:tcPr>
          <w:p>
            <w:r>
              <w:t>conformed, tested models</w:t>
            </w:r>
          </w:p>
        </w:tc>
      </w:tr>
      <w:tr>
        <w:tc>
          <w:tcPr>
            <w:tcW w:type="dxa" w:w="2880"/>
          </w:tcPr>
          <w:p>
            <w:r>
              <w:t>Present/Gold</w:t>
            </w:r>
          </w:p>
        </w:tc>
        <w:tc>
          <w:tcPr>
            <w:tcW w:type="dxa" w:w="2880"/>
          </w:tcPr>
          <w:p>
            <w:r>
              <w:t>Snowflake marts</w:t>
            </w:r>
          </w:p>
        </w:tc>
        <w:tc>
          <w:tcPr>
            <w:tcW w:type="dxa" w:w="2880"/>
          </w:tcPr>
          <w:p>
            <w:r>
              <w:t>domain marts + exposures</w:t>
            </w:r>
          </w:p>
        </w:tc>
      </w:tr>
      <w:tr>
        <w:tc>
          <w:tcPr>
            <w:tcW w:type="dxa" w:w="2880"/>
          </w:tcPr>
          <w:p>
            <w:r>
              <w:t>Semantic</w:t>
            </w:r>
          </w:p>
        </w:tc>
        <w:tc>
          <w:tcPr>
            <w:tcW w:type="dxa" w:w="2880"/>
          </w:tcPr>
          <w:p>
            <w:r>
              <w:t>dbt metrics</w:t>
            </w:r>
          </w:p>
        </w:tc>
        <w:tc>
          <w:tcPr>
            <w:tcW w:type="dxa" w:w="2880"/>
          </w:tcPr>
          <w:p>
            <w:r>
              <w:t>certified KPI definitions</w:t>
            </w:r>
          </w:p>
        </w:tc>
      </w:tr>
      <w:tr>
        <w:tc>
          <w:tcPr>
            <w:tcW w:type="dxa" w:w="2880"/>
          </w:tcPr>
          <w:p>
            <w:r>
              <w:t>Serving</w:t>
            </w:r>
          </w:p>
        </w:tc>
        <w:tc>
          <w:tcPr>
            <w:tcW w:type="dxa" w:w="2880"/>
          </w:tcPr>
          <w:p>
            <w:r>
              <w:t>Power BI / AI Search / Postgres</w:t>
            </w:r>
          </w:p>
        </w:tc>
        <w:tc>
          <w:tcPr>
            <w:tcW w:type="dxa" w:w="2880"/>
          </w:tcPr>
          <w:p>
            <w:r>
              <w:t>BI + RAG + context</w:t>
            </w:r>
          </w:p>
        </w:tc>
      </w:tr>
    </w:tbl>
    <w:p>
      <w:pPr>
        <w:pStyle w:val="Heading1"/>
      </w:pPr>
      <w:r>
        <w:t>Insight</w:t>
      </w:r>
    </w:p>
    <w:p>
      <w:r>
        <w:t>~58% of report effort is manual data prep upstream of certified marts; consolidating onto the semantic layer is the single largest reporting-rationalization lever.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it_systems_architecture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Platforms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it_systems_architecture</cp:category>
</cp:coreProperties>
</file>