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Governance Policy</w:t>
      </w:r>
    </w:p>
    <w:p>
      <w:r>
        <w:rPr>
          <w:b/>
          <w:bCs/>
        </w:rPr>
        <w:t xml:space="preserve">SYNTHETIC / ILLUSTRATIVE. Generated for Lakeshore Holdings pilot rehearsal.</w:t>
      </w:r>
    </w:p>
    <w:p>
      <w:pPr>
        <w:pStyle w:val="Heading1"/>
      </w:pPr>
      <w:r>
        <w:t xml:space="preserve">Ownership</w:t>
      </w:r>
    </w:p>
    <w:p>
      <w:r>
        <w:t xml:space="preserve">Every domain has a data owner, steward, quality score, and accepted refresh cadence.</w:t>
      </w:r>
    </w:p>
    <w:p>
      <w:pPr>
        <w:pStyle w:val="Heading1"/>
      </w:pPr>
      <w:r>
        <w:t xml:space="preserve">Evidence</w:t>
      </w:r>
    </w:p>
    <w:p>
      <w:r>
        <w:t xml:space="preserve">Agent answers must cite approved context with source locators.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2026-06-04T02:44:49.606Z</dcterms:created>
  <dcterms:modified xsi:type="dcterms:W3CDTF">2026-06-04T02:44:49.606Z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