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Vendor Risk Standard</w:t>
      </w:r>
    </w:p>
    <w:p>
      <w:r>
        <w:rPr>
          <w:b/>
          <w:bCs/>
        </w:rPr>
        <w:t xml:space="preserve">SYNTHETIC / ILLUSTRATIVE. Generated for Lakeshore Holdings pilot rehearsal.</w:t>
      </w:r>
    </w:p>
    <w:p>
      <w:pPr>
        <w:pStyle w:val="Heading1"/>
      </w:pPr>
      <w:r>
        <w:t xml:space="preserve">Renewal controls</w:t>
      </w:r>
    </w:p>
    <w:p>
      <w:r>
        <w:t xml:space="preserve">Tier 1 vendors require exit plans, cyber attestations, and data-use clauses.</w:t>
      </w:r>
    </w:p>
    <w:p>
      <w:pPr>
        <w:pStyle w:val="Heading1"/>
      </w:pPr>
      <w:r>
        <w:t xml:space="preserve">AI clauses</w:t>
      </w:r>
    </w:p>
    <w:p>
      <w:r>
        <w:t xml:space="preserve">Vendor AI use requires contract approval and auditability.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2026-06-04T02:44:49.613Z</dcterms:created>
  <dcterms:modified xsi:type="dcterms:W3CDTF">2026-06-04T02:44:49.613Z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